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C761" w14:textId="6959B14C" w:rsidR="000B4AFD" w:rsidRPr="007C4F51" w:rsidRDefault="000B4AFD" w:rsidP="007C4F51">
      <w:pPr>
        <w:spacing w:after="0" w:line="240" w:lineRule="auto"/>
        <w:jc w:val="center"/>
        <w:rPr>
          <w:rFonts w:asciiTheme="minorHAnsi" w:eastAsia="Times New Roman" w:hAnsiTheme="minorHAnsi"/>
          <w:b/>
        </w:rPr>
      </w:pPr>
      <w:r w:rsidRPr="007C4F51">
        <w:rPr>
          <w:rFonts w:asciiTheme="minorHAnsi" w:eastAsia="Times New Roman" w:hAnsiTheme="minorHAnsi"/>
          <w:b/>
        </w:rPr>
        <w:t>SNA 2023 Legislation Highlights</w:t>
      </w:r>
    </w:p>
    <w:p w14:paraId="08E9E5AA" w14:textId="4281E185" w:rsidR="000B4AFD" w:rsidRPr="007C4F51" w:rsidRDefault="000B4AFD" w:rsidP="007C4F51">
      <w:pPr>
        <w:spacing w:after="0" w:line="240" w:lineRule="auto"/>
        <w:jc w:val="center"/>
        <w:rPr>
          <w:rFonts w:asciiTheme="minorHAnsi" w:hAnsiTheme="minorHAnsi"/>
          <w:b/>
        </w:rPr>
      </w:pPr>
      <w:r w:rsidRPr="007C4F51">
        <w:rPr>
          <w:rFonts w:asciiTheme="minorHAnsi" w:hAnsiTheme="minorHAnsi"/>
          <w:b/>
        </w:rPr>
        <w:t>March 2023</w:t>
      </w:r>
    </w:p>
    <w:p w14:paraId="0BB591C0" w14:textId="77777777" w:rsidR="000B4AFD" w:rsidRPr="007C4F51" w:rsidRDefault="000B4AFD" w:rsidP="007C4F51">
      <w:pPr>
        <w:spacing w:after="0" w:line="240" w:lineRule="auto"/>
        <w:rPr>
          <w:rFonts w:asciiTheme="minorHAnsi" w:hAnsiTheme="minorHAnsi"/>
          <w:b/>
        </w:rPr>
      </w:pPr>
    </w:p>
    <w:p w14:paraId="101C619C" w14:textId="77777777" w:rsidR="000B4AFD" w:rsidRPr="007C4F51" w:rsidRDefault="000B4AFD" w:rsidP="007C4F51">
      <w:pPr>
        <w:spacing w:after="0" w:line="240" w:lineRule="auto"/>
        <w:rPr>
          <w:rFonts w:asciiTheme="minorHAnsi" w:hAnsiTheme="minorHAnsi"/>
          <w:b/>
        </w:rPr>
      </w:pPr>
    </w:p>
    <w:p w14:paraId="2BD94FA7" w14:textId="77777777" w:rsidR="000B4AFD" w:rsidRPr="007C4F51" w:rsidRDefault="000B4AFD" w:rsidP="007C4F51">
      <w:pPr>
        <w:spacing w:after="0" w:line="240" w:lineRule="auto"/>
        <w:rPr>
          <w:rFonts w:asciiTheme="minorHAnsi" w:hAnsiTheme="minorHAnsi"/>
          <w:b/>
        </w:rPr>
      </w:pPr>
      <w:r w:rsidRPr="007C4F51">
        <w:rPr>
          <w:rFonts w:asciiTheme="minorHAnsi" w:hAnsiTheme="minorHAnsi"/>
          <w:b/>
        </w:rPr>
        <w:t xml:space="preserve">The SNA Public Policy work is available on the SNA website.  There is a section called “Advocacy: Get Involved!”  Included there are </w:t>
      </w:r>
      <w:hyperlink r:id="rId5" w:history="1">
        <w:r w:rsidRPr="007C4F51">
          <w:rPr>
            <w:rFonts w:asciiTheme="minorHAnsi" w:hAnsiTheme="minorHAnsi"/>
            <w:b/>
            <w:color w:val="0000FF"/>
            <w:u w:val="single"/>
          </w:rPr>
          <w:t>links and tools</w:t>
        </w:r>
      </w:hyperlink>
      <w:r w:rsidRPr="007C4F51">
        <w:rPr>
          <w:rFonts w:asciiTheme="minorHAnsi" w:hAnsiTheme="minorHAnsi"/>
          <w:b/>
        </w:rPr>
        <w:t xml:space="preserve"> for members to use in their own advocacy. </w:t>
      </w:r>
    </w:p>
    <w:p w14:paraId="4AD17310" w14:textId="77777777" w:rsidR="000B4AFD" w:rsidRPr="007C4F51" w:rsidRDefault="000B4AFD" w:rsidP="007C4F51">
      <w:pPr>
        <w:spacing w:after="0" w:line="240" w:lineRule="auto"/>
        <w:rPr>
          <w:rFonts w:asciiTheme="minorHAnsi" w:hAnsiTheme="minorHAnsi"/>
          <w:bCs w:val="0"/>
        </w:rPr>
      </w:pPr>
    </w:p>
    <w:p w14:paraId="60380BE5" w14:textId="77777777" w:rsidR="000B4AFD" w:rsidRPr="007C4F51" w:rsidRDefault="000B4AFD" w:rsidP="007C4F51">
      <w:pPr>
        <w:spacing w:after="0" w:line="240" w:lineRule="auto"/>
        <w:rPr>
          <w:rFonts w:asciiTheme="minorHAnsi" w:hAnsiTheme="minorHAnsi"/>
          <w:bCs w:val="0"/>
          <w:u w:val="single"/>
        </w:rPr>
      </w:pPr>
    </w:p>
    <w:p w14:paraId="612D3D49" w14:textId="77777777" w:rsidR="000B4AFD" w:rsidRPr="007C4F51" w:rsidRDefault="000B4AFD" w:rsidP="007C4F51">
      <w:pPr>
        <w:spacing w:after="0" w:line="240" w:lineRule="auto"/>
        <w:rPr>
          <w:rFonts w:asciiTheme="minorHAnsi" w:hAnsiTheme="minorHAnsi"/>
          <w:b/>
          <w:u w:val="single"/>
        </w:rPr>
      </w:pPr>
      <w:r w:rsidRPr="007C4F51">
        <w:rPr>
          <w:rFonts w:asciiTheme="minorHAnsi" w:hAnsiTheme="minorHAnsi"/>
          <w:b/>
          <w:u w:val="single"/>
        </w:rPr>
        <w:t>LEGISLATION OF NOTE:</w:t>
      </w:r>
    </w:p>
    <w:p w14:paraId="1B8C2BB8" w14:textId="77777777" w:rsidR="000B4AFD" w:rsidRPr="007C4F51" w:rsidRDefault="000B4AFD" w:rsidP="007C4F51">
      <w:pPr>
        <w:spacing w:after="0"/>
        <w:rPr>
          <w:rFonts w:asciiTheme="minorHAnsi" w:eastAsia="Times New Roman" w:hAnsiTheme="minorHAnsi"/>
          <w:bCs w:val="0"/>
          <w:color w:val="333333"/>
        </w:rPr>
      </w:pPr>
    </w:p>
    <w:p w14:paraId="65419FC9" w14:textId="77777777" w:rsidR="000B4AFD" w:rsidRPr="007C4F51" w:rsidRDefault="000B4AFD" w:rsidP="007C4F51">
      <w:pPr>
        <w:spacing w:after="0" w:line="240" w:lineRule="auto"/>
        <w:rPr>
          <w:rFonts w:asciiTheme="minorHAnsi" w:hAnsiTheme="minorHAnsi"/>
          <w:bCs w:val="0"/>
        </w:rPr>
      </w:pPr>
      <w:r w:rsidRPr="007C4F51">
        <w:rPr>
          <w:rFonts w:asciiTheme="minorHAnsi" w:hAnsiTheme="minorHAnsi"/>
          <w:b/>
        </w:rPr>
        <w:t>Protection and Advocacy in Education Act</w:t>
      </w:r>
      <w:r w:rsidRPr="007C4F51">
        <w:rPr>
          <w:rFonts w:asciiTheme="minorHAnsi" w:hAnsiTheme="minorHAnsi"/>
          <w:bCs w:val="0"/>
        </w:rPr>
        <w:t xml:space="preserve"> - </w:t>
      </w:r>
      <w:hyperlink r:id="rId6" w:history="1">
        <w:r w:rsidRPr="007C4F51">
          <w:rPr>
            <w:rFonts w:asciiTheme="minorHAnsi" w:hAnsiTheme="minorHAnsi"/>
            <w:bCs w:val="0"/>
            <w:color w:val="0000FF"/>
            <w:u w:val="single"/>
          </w:rPr>
          <w:t>H.R.9100</w:t>
        </w:r>
      </w:hyperlink>
      <w:r w:rsidRPr="007C4F51">
        <w:rPr>
          <w:rFonts w:asciiTheme="minorHAnsi" w:hAnsiTheme="minorHAnsi"/>
          <w:bCs w:val="0"/>
        </w:rPr>
        <w:t>/</w:t>
      </w:r>
      <w:hyperlink r:id="rId7" w:history="1">
        <w:r w:rsidRPr="007C4F51">
          <w:rPr>
            <w:rFonts w:asciiTheme="minorHAnsi" w:hAnsiTheme="minorHAnsi"/>
            <w:bCs w:val="0"/>
            <w:color w:val="0000FF"/>
            <w:u w:val="single"/>
          </w:rPr>
          <w:t>S.5013</w:t>
        </w:r>
      </w:hyperlink>
      <w:r w:rsidRPr="007C4F51">
        <w:rPr>
          <w:rFonts w:asciiTheme="minorHAnsi" w:hAnsiTheme="minorHAnsi"/>
          <w:bCs w:val="0"/>
        </w:rPr>
        <w:t xml:space="preserve"> (DeSaulnier and Hassan) To authorize grants to establish a national education protection and advocacy program to enforce the rights and protections under the Individuals with Disabilities Education Act, the Americans with Disabilities Act of 1990, and section 504 of the Rehabilitation Act of 1973, and for other purposes (introduced 9/29/22).</w:t>
      </w:r>
    </w:p>
    <w:p w14:paraId="27720F5D" w14:textId="77777777" w:rsidR="000B4AFD" w:rsidRPr="007C4F51" w:rsidRDefault="000B4AFD" w:rsidP="007C4F51">
      <w:pPr>
        <w:spacing w:after="0"/>
        <w:rPr>
          <w:rFonts w:asciiTheme="minorHAnsi" w:eastAsia="Times New Roman" w:hAnsiTheme="minorHAnsi"/>
          <w:bCs w:val="0"/>
          <w:color w:val="333333"/>
        </w:rPr>
      </w:pPr>
    </w:p>
    <w:p w14:paraId="4B4E23B2" w14:textId="0C79D3D1" w:rsidR="000B4AFD" w:rsidRPr="007C4F51" w:rsidRDefault="000B4AFD" w:rsidP="007C4F51">
      <w:pPr>
        <w:spacing w:after="0"/>
        <w:rPr>
          <w:rFonts w:asciiTheme="minorHAnsi" w:eastAsia="Times New Roman" w:hAnsiTheme="minorHAnsi"/>
          <w:bCs w:val="0"/>
        </w:rPr>
      </w:pPr>
      <w:r w:rsidRPr="007C4F51">
        <w:rPr>
          <w:rFonts w:asciiTheme="minorHAnsi" w:eastAsia="Times New Roman" w:hAnsiTheme="minorHAnsi"/>
          <w:b/>
          <w:color w:val="333333"/>
        </w:rPr>
        <w:t>Social Security Expansion Act</w:t>
      </w:r>
      <w:r w:rsidRPr="007C4F51">
        <w:rPr>
          <w:rFonts w:asciiTheme="minorHAnsi" w:eastAsia="Times New Roman" w:hAnsiTheme="minorHAnsi"/>
          <w:bCs w:val="0"/>
          <w:color w:val="333333"/>
        </w:rPr>
        <w:t xml:space="preserve"> – </w:t>
      </w:r>
      <w:hyperlink r:id="rId8" w:history="1">
        <w:r w:rsidRPr="007C4F51">
          <w:rPr>
            <w:rFonts w:asciiTheme="minorHAnsi" w:eastAsia="Times New Roman" w:hAnsiTheme="minorHAnsi"/>
            <w:bCs w:val="0"/>
            <w:color w:val="3366CC"/>
            <w:u w:val="single"/>
          </w:rPr>
          <w:t>H.R.1046</w:t>
        </w:r>
      </w:hyperlink>
      <w:r w:rsidRPr="007C4F51">
        <w:rPr>
          <w:rFonts w:asciiTheme="minorHAnsi" w:eastAsia="Times New Roman" w:hAnsiTheme="minorHAnsi"/>
          <w:bCs w:val="0"/>
          <w:color w:val="333333"/>
        </w:rPr>
        <w:t xml:space="preserve"> / </w:t>
      </w:r>
      <w:hyperlink r:id="rId9" w:history="1">
        <w:r w:rsidRPr="007C4F51">
          <w:rPr>
            <w:rFonts w:asciiTheme="minorHAnsi" w:eastAsia="Times New Roman" w:hAnsiTheme="minorHAnsi"/>
            <w:bCs w:val="0"/>
            <w:color w:val="3366CC"/>
            <w:u w:val="single"/>
          </w:rPr>
          <w:t>S.393</w:t>
        </w:r>
      </w:hyperlink>
      <w:r w:rsidRPr="007C4F51">
        <w:rPr>
          <w:rFonts w:asciiTheme="minorHAnsi" w:eastAsia="Times New Roman" w:hAnsiTheme="minorHAnsi"/>
          <w:bCs w:val="0"/>
          <w:color w:val="3366CC"/>
        </w:rPr>
        <w:t xml:space="preserve"> </w:t>
      </w:r>
      <w:r w:rsidRPr="007C4F51">
        <w:rPr>
          <w:rFonts w:asciiTheme="minorHAnsi" w:eastAsia="Times New Roman" w:hAnsiTheme="minorHAnsi"/>
          <w:bCs w:val="0"/>
        </w:rPr>
        <w:t>(Schakowsky and Sanders)</w:t>
      </w:r>
      <w:r w:rsidR="0014589B" w:rsidRPr="007C4F51">
        <w:rPr>
          <w:rFonts w:asciiTheme="minorHAnsi" w:eastAsia="Times New Roman" w:hAnsiTheme="minorHAnsi"/>
          <w:bCs w:val="0"/>
        </w:rPr>
        <w:t xml:space="preserve"> </w:t>
      </w:r>
      <w:r w:rsidR="00F76002" w:rsidRPr="007C4F51">
        <w:rPr>
          <w:rFonts w:asciiTheme="minorHAnsi" w:eastAsia="Times New Roman" w:hAnsiTheme="minorHAnsi"/>
          <w:bCs w:val="0"/>
        </w:rPr>
        <w:t>E</w:t>
      </w:r>
      <w:r w:rsidR="0014589B" w:rsidRPr="007C4F51">
        <w:rPr>
          <w:rFonts w:asciiTheme="minorHAnsi" w:eastAsia="Times New Roman" w:hAnsiTheme="minorHAnsi"/>
          <w:bCs w:val="0"/>
        </w:rPr>
        <w:t>xtend</w:t>
      </w:r>
      <w:r w:rsidR="00F76002" w:rsidRPr="007C4F51">
        <w:rPr>
          <w:rFonts w:asciiTheme="minorHAnsi" w:eastAsia="Times New Roman" w:hAnsiTheme="minorHAnsi"/>
          <w:bCs w:val="0"/>
        </w:rPr>
        <w:t>s</w:t>
      </w:r>
      <w:r w:rsidR="0014589B" w:rsidRPr="007C4F51">
        <w:rPr>
          <w:rFonts w:asciiTheme="minorHAnsi" w:eastAsia="Times New Roman" w:hAnsiTheme="minorHAnsi"/>
          <w:bCs w:val="0"/>
        </w:rPr>
        <w:t xml:space="preserve"> the life of the Old Age, Survivors, and Disability Insurance (OASDI) </w:t>
      </w:r>
      <w:r w:rsidR="00F76002" w:rsidRPr="007C4F51">
        <w:rPr>
          <w:rFonts w:asciiTheme="minorHAnsi" w:eastAsia="Times New Roman" w:hAnsiTheme="minorHAnsi"/>
          <w:bCs w:val="0"/>
        </w:rPr>
        <w:t xml:space="preserve">for the next 75 years while requiring payroll taxes on incomes of $250,000 and above, and for other purposes (introduced 2/13/23 and referred to Ways and Means, Education and the Workforce, and Transportation and Infrastructure in the House; Committee on Finance in the Senate.) </w:t>
      </w:r>
    </w:p>
    <w:p w14:paraId="061C8308" w14:textId="62C348B9" w:rsidR="00ED54EC" w:rsidRPr="007C4F51" w:rsidRDefault="00ED54EC" w:rsidP="007C4F51">
      <w:pPr>
        <w:pStyle w:val="ListParagraph"/>
        <w:numPr>
          <w:ilvl w:val="0"/>
          <w:numId w:val="1"/>
        </w:numPr>
        <w:spacing w:after="0"/>
        <w:rPr>
          <w:rFonts w:asciiTheme="minorHAnsi" w:eastAsia="Times New Roman" w:hAnsiTheme="minorHAnsi"/>
          <w:bCs w:val="0"/>
        </w:rPr>
      </w:pPr>
      <w:r w:rsidRPr="007C4F51">
        <w:rPr>
          <w:rFonts w:asciiTheme="minorHAnsi" w:eastAsia="Times New Roman" w:hAnsiTheme="minorHAnsi"/>
          <w:bCs w:val="0"/>
        </w:rPr>
        <w:t xml:space="preserve">Read the </w:t>
      </w:r>
      <w:hyperlink r:id="rId10" w:history="1">
        <w:r w:rsidRPr="007C4F51">
          <w:rPr>
            <w:rStyle w:val="Hyperlink"/>
            <w:rFonts w:asciiTheme="minorHAnsi" w:eastAsia="Times New Roman" w:hAnsiTheme="minorHAnsi"/>
            <w:bCs w:val="0"/>
          </w:rPr>
          <w:t>fact sheet</w:t>
        </w:r>
      </w:hyperlink>
      <w:r w:rsidRPr="007C4F51">
        <w:rPr>
          <w:rFonts w:asciiTheme="minorHAnsi" w:eastAsia="Times New Roman" w:hAnsiTheme="minorHAnsi"/>
          <w:bCs w:val="0"/>
        </w:rPr>
        <w:t xml:space="preserve"> published by Senator Sanders’s office</w:t>
      </w:r>
    </w:p>
    <w:p w14:paraId="78C9DBC9" w14:textId="07016F3A" w:rsidR="00ED54EC" w:rsidRPr="007C4F51" w:rsidRDefault="00ED54EC" w:rsidP="007C4F51">
      <w:pPr>
        <w:pStyle w:val="ListParagraph"/>
        <w:numPr>
          <w:ilvl w:val="0"/>
          <w:numId w:val="1"/>
        </w:numPr>
        <w:spacing w:after="0"/>
        <w:rPr>
          <w:rFonts w:asciiTheme="minorHAnsi" w:eastAsia="Times New Roman" w:hAnsiTheme="minorHAnsi"/>
          <w:bCs w:val="0"/>
        </w:rPr>
      </w:pPr>
      <w:r w:rsidRPr="007C4F51">
        <w:rPr>
          <w:rFonts w:asciiTheme="minorHAnsi" w:eastAsia="Times New Roman" w:hAnsiTheme="minorHAnsi"/>
          <w:bCs w:val="0"/>
        </w:rPr>
        <w:t xml:space="preserve">Read the </w:t>
      </w:r>
      <w:hyperlink r:id="rId11" w:history="1">
        <w:r w:rsidRPr="007C4F51">
          <w:rPr>
            <w:rStyle w:val="Hyperlink"/>
            <w:rFonts w:asciiTheme="minorHAnsi" w:eastAsia="Times New Roman" w:hAnsiTheme="minorHAnsi"/>
            <w:bCs w:val="0"/>
          </w:rPr>
          <w:t>analysis</w:t>
        </w:r>
      </w:hyperlink>
      <w:r w:rsidRPr="007C4F51">
        <w:rPr>
          <w:rFonts w:asciiTheme="minorHAnsi" w:eastAsia="Times New Roman" w:hAnsiTheme="minorHAnsi"/>
          <w:bCs w:val="0"/>
        </w:rPr>
        <w:t xml:space="preserve"> by the SSA</w:t>
      </w:r>
    </w:p>
    <w:p w14:paraId="5D14B9A5" w14:textId="571FC4B4" w:rsidR="0014589B" w:rsidRPr="007C4F51" w:rsidRDefault="0014589B" w:rsidP="007C4F51">
      <w:pPr>
        <w:pStyle w:val="ListParagraph"/>
        <w:numPr>
          <w:ilvl w:val="0"/>
          <w:numId w:val="1"/>
        </w:numPr>
        <w:spacing w:after="0"/>
        <w:rPr>
          <w:rFonts w:asciiTheme="minorHAnsi" w:eastAsia="Times New Roman" w:hAnsiTheme="minorHAnsi"/>
          <w:bCs w:val="0"/>
        </w:rPr>
      </w:pPr>
      <w:r w:rsidRPr="007C4F51">
        <w:rPr>
          <w:rFonts w:asciiTheme="minorHAnsi" w:eastAsia="Times New Roman" w:hAnsiTheme="minorHAnsi"/>
          <w:bCs w:val="0"/>
        </w:rPr>
        <w:t xml:space="preserve">Read an </w:t>
      </w:r>
      <w:hyperlink r:id="rId12" w:history="1">
        <w:r w:rsidRPr="007C4F51">
          <w:rPr>
            <w:rStyle w:val="Hyperlink"/>
            <w:rFonts w:asciiTheme="minorHAnsi" w:eastAsia="Times New Roman" w:hAnsiTheme="minorHAnsi"/>
            <w:bCs w:val="0"/>
          </w:rPr>
          <w:t>opinion piece</w:t>
        </w:r>
      </w:hyperlink>
      <w:r w:rsidRPr="007C4F51">
        <w:rPr>
          <w:rFonts w:asciiTheme="minorHAnsi" w:eastAsia="Times New Roman" w:hAnsiTheme="minorHAnsi"/>
          <w:bCs w:val="0"/>
        </w:rPr>
        <w:t xml:space="preserve"> published in </w:t>
      </w:r>
      <w:r w:rsidRPr="007C4F51">
        <w:rPr>
          <w:rFonts w:asciiTheme="minorHAnsi" w:eastAsia="Times New Roman" w:hAnsiTheme="minorHAnsi"/>
          <w:bCs w:val="0"/>
          <w:i/>
          <w:iCs/>
        </w:rPr>
        <w:t>The Hill</w:t>
      </w:r>
      <w:r w:rsidRPr="007C4F51">
        <w:rPr>
          <w:rFonts w:asciiTheme="minorHAnsi" w:eastAsia="Times New Roman" w:hAnsiTheme="minorHAnsi"/>
          <w:bCs w:val="0"/>
        </w:rPr>
        <w:t xml:space="preserve"> newspaper</w:t>
      </w:r>
    </w:p>
    <w:p w14:paraId="450985E4" w14:textId="77777777" w:rsidR="007C4F51" w:rsidRDefault="007C4F51" w:rsidP="007C4F51">
      <w:pPr>
        <w:spacing w:after="0"/>
        <w:rPr>
          <w:rFonts w:asciiTheme="minorHAnsi" w:eastAsia="Times New Roman" w:hAnsiTheme="minorHAnsi"/>
          <w:b/>
          <w:color w:val="333333"/>
        </w:rPr>
      </w:pPr>
    </w:p>
    <w:p w14:paraId="0CD1B46C" w14:textId="665AD0CF" w:rsidR="004D3849" w:rsidRPr="007C4F51" w:rsidRDefault="00F76002" w:rsidP="007C4F51">
      <w:pPr>
        <w:spacing w:after="0"/>
        <w:rPr>
          <w:rFonts w:asciiTheme="minorHAnsi" w:eastAsia="Times New Roman" w:hAnsiTheme="minorHAnsi"/>
          <w:bCs w:val="0"/>
        </w:rPr>
      </w:pPr>
      <w:r w:rsidRPr="007C4F51">
        <w:rPr>
          <w:rFonts w:asciiTheme="minorHAnsi" w:eastAsia="Times New Roman" w:hAnsiTheme="minorHAnsi"/>
          <w:b/>
          <w:color w:val="333333"/>
        </w:rPr>
        <w:t xml:space="preserve">Stop the Wait Act of 2023 – </w:t>
      </w:r>
      <w:hyperlink r:id="rId13" w:history="1">
        <w:r w:rsidRPr="007C4F51">
          <w:rPr>
            <w:rFonts w:asciiTheme="minorHAnsi" w:eastAsia="Times New Roman" w:hAnsiTheme="minorHAnsi"/>
            <w:bCs w:val="0"/>
            <w:color w:val="3366CC"/>
            <w:u w:val="single"/>
          </w:rPr>
          <w:t>H.R.883</w:t>
        </w:r>
      </w:hyperlink>
      <w:r w:rsidRPr="007C4F51">
        <w:rPr>
          <w:rFonts w:asciiTheme="minorHAnsi" w:eastAsia="Times New Roman" w:hAnsiTheme="minorHAnsi"/>
          <w:bCs w:val="0"/>
          <w:color w:val="3366CC"/>
          <w:u w:val="single"/>
        </w:rPr>
        <w:t xml:space="preserve">/ </w:t>
      </w:r>
      <w:hyperlink r:id="rId14" w:history="1">
        <w:r w:rsidRPr="007C4F51">
          <w:rPr>
            <w:rFonts w:asciiTheme="minorHAnsi" w:eastAsia="Times New Roman" w:hAnsiTheme="minorHAnsi"/>
            <w:bCs w:val="0"/>
            <w:color w:val="3366CC"/>
            <w:u w:val="single"/>
          </w:rPr>
          <w:t>S.320</w:t>
        </w:r>
      </w:hyperlink>
      <w:r w:rsidRPr="007C4F51">
        <w:rPr>
          <w:rFonts w:asciiTheme="minorHAnsi" w:eastAsia="Times New Roman" w:hAnsiTheme="minorHAnsi"/>
          <w:bCs w:val="0"/>
        </w:rPr>
        <w:t xml:space="preserve"> (Doggett and Casey) </w:t>
      </w:r>
      <w:r w:rsidR="00632D75" w:rsidRPr="007C4F51">
        <w:rPr>
          <w:rFonts w:asciiTheme="minorHAnsi" w:hAnsiTheme="minorHAnsi"/>
          <w:shd w:val="clear" w:color="auto" w:fill="FFFFFF"/>
        </w:rPr>
        <w:t>D</w:t>
      </w:r>
      <w:r w:rsidR="00EE201A" w:rsidRPr="007C4F51">
        <w:rPr>
          <w:rFonts w:asciiTheme="minorHAnsi" w:hAnsiTheme="minorHAnsi"/>
          <w:shd w:val="clear" w:color="auto" w:fill="FFFFFF"/>
        </w:rPr>
        <w:t>irects the Social Security Administration to phase out the five-month waiting period to receive SSDI benefits and allow those who are uninsured or unable to afford health insurance to immediately receive Medicare coverage (introduced 2/9/23</w:t>
      </w:r>
      <w:r w:rsidR="00632D75" w:rsidRPr="007C4F51">
        <w:rPr>
          <w:rFonts w:asciiTheme="minorHAnsi" w:hAnsiTheme="minorHAnsi"/>
          <w:shd w:val="clear" w:color="auto" w:fill="FFFFFF"/>
        </w:rPr>
        <w:t>, referred to the Ways and Means and Energy and Commerce in the House and Finance in the Senate.)</w:t>
      </w:r>
      <w:r w:rsidR="00EE201A" w:rsidRPr="007C4F51">
        <w:rPr>
          <w:rFonts w:asciiTheme="minorHAnsi" w:hAnsiTheme="minorHAnsi"/>
          <w:shd w:val="clear" w:color="auto" w:fill="FFFFFF"/>
        </w:rPr>
        <w:t xml:space="preserve"> </w:t>
      </w:r>
    </w:p>
    <w:p w14:paraId="4B31AE2A" w14:textId="03E387F2" w:rsidR="00EE201A" w:rsidRPr="007C4F51" w:rsidRDefault="00D520B0" w:rsidP="007C4F51">
      <w:pPr>
        <w:pStyle w:val="ListParagraph"/>
        <w:numPr>
          <w:ilvl w:val="0"/>
          <w:numId w:val="8"/>
        </w:numPr>
        <w:spacing w:after="0"/>
        <w:rPr>
          <w:rFonts w:asciiTheme="minorHAnsi" w:eastAsia="Times New Roman" w:hAnsiTheme="minorHAnsi"/>
          <w:bCs w:val="0"/>
        </w:rPr>
      </w:pPr>
      <w:r w:rsidRPr="007C4F51">
        <w:rPr>
          <w:rFonts w:asciiTheme="minorHAnsi" w:eastAsia="Times New Roman" w:hAnsiTheme="minorHAnsi"/>
          <w:bCs w:val="0"/>
        </w:rPr>
        <w:t xml:space="preserve">Read more about the bill and its </w:t>
      </w:r>
      <w:hyperlink r:id="rId15" w:history="1">
        <w:r w:rsidRPr="007C4F51">
          <w:rPr>
            <w:rStyle w:val="Hyperlink"/>
            <w:rFonts w:asciiTheme="minorHAnsi" w:eastAsia="Times New Roman" w:hAnsiTheme="minorHAnsi"/>
            <w:bCs w:val="0"/>
          </w:rPr>
          <w:t>supporters</w:t>
        </w:r>
      </w:hyperlink>
    </w:p>
    <w:p w14:paraId="6D914660" w14:textId="77777777" w:rsidR="007C4F51" w:rsidRDefault="007C4F51" w:rsidP="007C4F51">
      <w:pPr>
        <w:spacing w:after="0"/>
        <w:rPr>
          <w:rFonts w:asciiTheme="minorHAnsi" w:eastAsia="Times New Roman" w:hAnsiTheme="minorHAnsi"/>
          <w:b/>
        </w:rPr>
      </w:pPr>
    </w:p>
    <w:p w14:paraId="54FFDCF7" w14:textId="19625CDD" w:rsidR="00EE201A" w:rsidRPr="007C4F51" w:rsidRDefault="00632D75" w:rsidP="007C4F51">
      <w:pPr>
        <w:spacing w:after="0"/>
        <w:rPr>
          <w:rFonts w:asciiTheme="minorHAnsi" w:eastAsia="Times New Roman" w:hAnsiTheme="minorHAnsi"/>
          <w:b/>
        </w:rPr>
      </w:pPr>
      <w:r w:rsidRPr="007C4F51">
        <w:rPr>
          <w:rFonts w:asciiTheme="minorHAnsi" w:eastAsia="Times New Roman" w:hAnsiTheme="minorHAnsi"/>
          <w:b/>
        </w:rPr>
        <w:t xml:space="preserve">Social Security Fairness Act of 2023 – </w:t>
      </w:r>
      <w:hyperlink r:id="rId16" w:history="1">
        <w:r w:rsidRPr="007C4F51">
          <w:rPr>
            <w:rFonts w:asciiTheme="minorHAnsi" w:eastAsia="Times New Roman" w:hAnsiTheme="minorHAnsi"/>
            <w:bCs w:val="0"/>
            <w:color w:val="3366CC"/>
            <w:u w:val="single"/>
          </w:rPr>
          <w:t>H.R.82</w:t>
        </w:r>
      </w:hyperlink>
      <w:r w:rsidRPr="007C4F51">
        <w:rPr>
          <w:rFonts w:asciiTheme="minorHAnsi" w:eastAsia="Times New Roman" w:hAnsiTheme="minorHAnsi"/>
          <w:bCs w:val="0"/>
          <w:color w:val="333333"/>
        </w:rPr>
        <w:t xml:space="preserve"> / </w:t>
      </w:r>
      <w:hyperlink r:id="rId17" w:history="1">
        <w:r w:rsidRPr="007C4F51">
          <w:rPr>
            <w:rFonts w:asciiTheme="minorHAnsi" w:eastAsia="Times New Roman" w:hAnsiTheme="minorHAnsi"/>
            <w:bCs w:val="0"/>
            <w:color w:val="3366CC"/>
            <w:u w:val="single"/>
          </w:rPr>
          <w:t>S.597</w:t>
        </w:r>
      </w:hyperlink>
      <w:r w:rsidRPr="007C4F51">
        <w:rPr>
          <w:rFonts w:asciiTheme="minorHAnsi" w:eastAsia="Times New Roman" w:hAnsiTheme="minorHAnsi"/>
          <w:bCs w:val="0"/>
        </w:rPr>
        <w:t xml:space="preserve"> (Graves and Brown) Amends the</w:t>
      </w:r>
      <w:r w:rsidRPr="007C4F51">
        <w:rPr>
          <w:rFonts w:asciiTheme="minorHAnsi" w:eastAsia="Times New Roman" w:hAnsiTheme="minorHAnsi"/>
        </w:rPr>
        <w:t> Social Security Act to repeal the government pension offset and windfall elimination provisions</w:t>
      </w:r>
      <w:r w:rsidRPr="007C4F51">
        <w:rPr>
          <w:rFonts w:asciiTheme="minorHAnsi" w:hAnsiTheme="minorHAnsi"/>
          <w:color w:val="191918"/>
          <w:shd w:val="clear" w:color="auto" w:fill="FFFFFF"/>
        </w:rPr>
        <w:t xml:space="preserve"> (introduced 1/9/23, referred to Ways and Means in the House and Finance in the Senate.) </w:t>
      </w:r>
    </w:p>
    <w:p w14:paraId="0495937C" w14:textId="77777777" w:rsidR="007C4F51" w:rsidRDefault="007C4F51" w:rsidP="007C4F51">
      <w:pPr>
        <w:spacing w:after="0"/>
        <w:rPr>
          <w:rFonts w:asciiTheme="minorHAnsi" w:eastAsia="Times New Roman" w:hAnsiTheme="minorHAnsi"/>
          <w:b/>
        </w:rPr>
      </w:pPr>
    </w:p>
    <w:p w14:paraId="6C81AFB0" w14:textId="7945C4A3" w:rsidR="00ED5A60" w:rsidRPr="007C4F51" w:rsidRDefault="00403927" w:rsidP="007C4F51">
      <w:pPr>
        <w:spacing w:after="0"/>
        <w:rPr>
          <w:rFonts w:asciiTheme="minorHAnsi" w:eastAsia="Times New Roman" w:hAnsiTheme="minorHAnsi"/>
          <w:bCs w:val="0"/>
          <w:color w:val="333333"/>
        </w:rPr>
      </w:pPr>
      <w:r w:rsidRPr="007C4F51">
        <w:rPr>
          <w:rFonts w:asciiTheme="minorHAnsi" w:eastAsia="Times New Roman" w:hAnsiTheme="minorHAnsi"/>
          <w:b/>
        </w:rPr>
        <w:t>Fair COLA for Seniors Act of 2023</w:t>
      </w:r>
      <w:r w:rsidRPr="007C4F51">
        <w:rPr>
          <w:rFonts w:asciiTheme="minorHAnsi" w:eastAsia="Times New Roman" w:hAnsiTheme="minorHAnsi"/>
          <w:bCs w:val="0"/>
        </w:rPr>
        <w:t xml:space="preserve"> – </w:t>
      </w:r>
      <w:hyperlink r:id="rId18" w:history="1">
        <w:r w:rsidRPr="007C4F51">
          <w:rPr>
            <w:rFonts w:asciiTheme="minorHAnsi" w:eastAsia="Times New Roman" w:hAnsiTheme="minorHAnsi"/>
            <w:bCs w:val="0"/>
            <w:color w:val="3366CC"/>
            <w:u w:val="single"/>
          </w:rPr>
          <w:t>H.R.716</w:t>
        </w:r>
      </w:hyperlink>
      <w:r w:rsidRPr="007C4F51">
        <w:rPr>
          <w:rFonts w:asciiTheme="minorHAnsi" w:eastAsia="Times New Roman" w:hAnsiTheme="minorHAnsi"/>
          <w:bCs w:val="0"/>
        </w:rPr>
        <w:t xml:space="preserve"> (Garamendi) R</w:t>
      </w:r>
      <w:r w:rsidRPr="007C4F51">
        <w:rPr>
          <w:rFonts w:asciiTheme="minorHAnsi" w:eastAsia="Times New Roman" w:hAnsiTheme="minorHAnsi"/>
        </w:rPr>
        <w:t>equires Social Security to use the Consumer Price Index for the Elderly (CPI-E) to calculate a fairer cost of living adjustment (COLA) for seniors</w:t>
      </w:r>
      <w:r w:rsidRPr="007C4F51">
        <w:rPr>
          <w:rFonts w:asciiTheme="minorHAnsi" w:hAnsiTheme="minorHAnsi"/>
          <w:color w:val="333333"/>
          <w:shd w:val="clear" w:color="auto" w:fill="FFFFFF"/>
        </w:rPr>
        <w:t>. The Bureau of Labor Statistics of the Department of Labor must publish that price </w:t>
      </w:r>
      <w:r w:rsidRPr="007C4F51">
        <w:rPr>
          <w:rFonts w:asciiTheme="minorHAnsi" w:hAnsiTheme="minorHAnsi"/>
        </w:rPr>
        <w:t>in</w:t>
      </w:r>
      <w:r w:rsidRPr="007C4F51">
        <w:rPr>
          <w:rFonts w:asciiTheme="minorHAnsi" w:hAnsiTheme="minorHAnsi"/>
          <w:color w:val="333333"/>
          <w:shd w:val="clear" w:color="auto" w:fill="FFFFFF"/>
        </w:rPr>
        <w:t xml:space="preserve">dex </w:t>
      </w:r>
      <w:r w:rsidR="0011441B" w:rsidRPr="007C4F51">
        <w:rPr>
          <w:rFonts w:asciiTheme="minorHAnsi" w:hAnsiTheme="minorHAnsi"/>
          <w:color w:val="333333"/>
          <w:shd w:val="clear" w:color="auto" w:fill="FFFFFF"/>
        </w:rPr>
        <w:t>monthly</w:t>
      </w:r>
      <w:r w:rsidRPr="007C4F51">
        <w:rPr>
          <w:rFonts w:asciiTheme="minorHAnsi" w:hAnsiTheme="minorHAnsi"/>
          <w:color w:val="333333"/>
          <w:shd w:val="clear" w:color="auto" w:fill="FFFFFF"/>
        </w:rPr>
        <w:t xml:space="preserve"> (</w:t>
      </w:r>
      <w:r w:rsidRPr="007C4F51">
        <w:rPr>
          <w:rFonts w:asciiTheme="minorHAnsi" w:eastAsia="Times New Roman" w:hAnsiTheme="minorHAnsi"/>
          <w:bCs w:val="0"/>
        </w:rPr>
        <w:t>introduced 2/</w:t>
      </w:r>
      <w:r w:rsidR="00ED5A60" w:rsidRPr="007C4F51">
        <w:rPr>
          <w:rFonts w:asciiTheme="minorHAnsi" w:eastAsia="Times New Roman" w:hAnsiTheme="minorHAnsi"/>
          <w:bCs w:val="0"/>
        </w:rPr>
        <w:t>01</w:t>
      </w:r>
      <w:r w:rsidRPr="007C4F51">
        <w:rPr>
          <w:rFonts w:asciiTheme="minorHAnsi" w:eastAsia="Times New Roman" w:hAnsiTheme="minorHAnsi"/>
          <w:bCs w:val="0"/>
        </w:rPr>
        <w:t xml:space="preserve">/23; referred to </w:t>
      </w:r>
      <w:r w:rsidRPr="007C4F51">
        <w:rPr>
          <w:rFonts w:asciiTheme="minorHAnsi" w:eastAsia="Times New Roman" w:hAnsiTheme="minorHAnsi"/>
          <w:bCs w:val="0"/>
          <w:color w:val="333333"/>
        </w:rPr>
        <w:t xml:space="preserve">Ways and Means; Veterans' Affairs; </w:t>
      </w:r>
      <w:r w:rsidRPr="007C4F51">
        <w:rPr>
          <w:rFonts w:asciiTheme="minorHAnsi" w:eastAsia="Times New Roman" w:hAnsiTheme="minorHAnsi"/>
          <w:bCs w:val="0"/>
          <w:color w:val="333333"/>
        </w:rPr>
        <w:lastRenderedPageBreak/>
        <w:t>Oversight and Accountability; Armed Services</w:t>
      </w:r>
      <w:r w:rsidR="00ED5A60" w:rsidRPr="007C4F51">
        <w:rPr>
          <w:rFonts w:asciiTheme="minorHAnsi" w:eastAsia="Times New Roman" w:hAnsiTheme="minorHAnsi"/>
          <w:bCs w:val="0"/>
          <w:color w:val="333333"/>
        </w:rPr>
        <w:t>; on 2/28/23 referred to the Veterans’ Affairs Subcommittee on Disability Assistance and Memorial Affairs.</w:t>
      </w:r>
      <w:r w:rsidRPr="007C4F51">
        <w:rPr>
          <w:rFonts w:asciiTheme="minorHAnsi" w:eastAsia="Times New Roman" w:hAnsiTheme="minorHAnsi"/>
          <w:bCs w:val="0"/>
          <w:color w:val="333333"/>
        </w:rPr>
        <w:t xml:space="preserve">) </w:t>
      </w:r>
    </w:p>
    <w:p w14:paraId="0A559D33" w14:textId="3A1B0F73" w:rsidR="00ED5A60" w:rsidRPr="007C4F51" w:rsidRDefault="00ED5A60" w:rsidP="007C4F51">
      <w:pPr>
        <w:pStyle w:val="ListParagraph"/>
        <w:numPr>
          <w:ilvl w:val="0"/>
          <w:numId w:val="8"/>
        </w:numPr>
        <w:spacing w:after="0"/>
        <w:rPr>
          <w:rFonts w:asciiTheme="minorHAnsi" w:eastAsia="Times New Roman" w:hAnsiTheme="minorHAnsi"/>
          <w:bCs w:val="0"/>
          <w:color w:val="333333"/>
        </w:rPr>
      </w:pPr>
      <w:r w:rsidRPr="007C4F51">
        <w:rPr>
          <w:rFonts w:asciiTheme="minorHAnsi" w:eastAsia="Times New Roman" w:hAnsiTheme="minorHAnsi"/>
          <w:bCs w:val="0"/>
          <w:color w:val="333333"/>
        </w:rPr>
        <w:t xml:space="preserve">Read about the </w:t>
      </w:r>
      <w:hyperlink r:id="rId19" w:history="1">
        <w:r w:rsidRPr="007C4F51">
          <w:rPr>
            <w:rStyle w:val="Hyperlink"/>
            <w:rFonts w:asciiTheme="minorHAnsi" w:eastAsia="Times New Roman" w:hAnsiTheme="minorHAnsi"/>
            <w:bCs w:val="0"/>
          </w:rPr>
          <w:t>Consumer Price Index for the Elderly</w:t>
        </w:r>
      </w:hyperlink>
    </w:p>
    <w:p w14:paraId="4E2B3918" w14:textId="77777777" w:rsidR="007C4F51" w:rsidRDefault="007C4F51" w:rsidP="007C4F51">
      <w:pPr>
        <w:spacing w:after="0"/>
        <w:rPr>
          <w:rStyle w:val="result-title"/>
          <w:rFonts w:asciiTheme="minorHAnsi" w:hAnsiTheme="minorHAnsi"/>
          <w:b/>
          <w:bCs w:val="0"/>
          <w:color w:val="333333"/>
          <w:shd w:val="clear" w:color="auto" w:fill="FFFFFF"/>
        </w:rPr>
      </w:pPr>
    </w:p>
    <w:p w14:paraId="3C02D4DA" w14:textId="6B3A1EDD" w:rsidR="00EE201A" w:rsidRPr="007C4F51" w:rsidRDefault="00ED5A60" w:rsidP="007C4F51">
      <w:pPr>
        <w:spacing w:after="0"/>
        <w:rPr>
          <w:rStyle w:val="result-title"/>
          <w:rFonts w:asciiTheme="minorHAnsi" w:hAnsiTheme="minorHAnsi"/>
          <w:color w:val="333333"/>
          <w:shd w:val="clear" w:color="auto" w:fill="FFFFFF"/>
        </w:rPr>
      </w:pPr>
      <w:r w:rsidRPr="007C4F51">
        <w:rPr>
          <w:rStyle w:val="result-title"/>
          <w:rFonts w:asciiTheme="minorHAnsi" w:hAnsiTheme="minorHAnsi"/>
          <w:b/>
          <w:bCs w:val="0"/>
          <w:color w:val="333333"/>
          <w:shd w:val="clear" w:color="auto" w:fill="FFFFFF"/>
        </w:rPr>
        <w:t>Protecting Health Care for All Patients Act of 2023</w:t>
      </w:r>
      <w:r w:rsidRPr="007C4F51">
        <w:rPr>
          <w:rStyle w:val="result-title"/>
          <w:rFonts w:asciiTheme="minorHAnsi" w:hAnsiTheme="minorHAnsi"/>
          <w:color w:val="333333"/>
          <w:shd w:val="clear" w:color="auto" w:fill="FFFFFF"/>
        </w:rPr>
        <w:t xml:space="preserve"> – </w:t>
      </w:r>
      <w:hyperlink r:id="rId20" w:history="1">
        <w:r w:rsidRPr="007C4F51">
          <w:rPr>
            <w:rStyle w:val="Hyperlink"/>
            <w:rFonts w:asciiTheme="minorHAnsi" w:hAnsiTheme="minorHAnsi"/>
            <w:shd w:val="clear" w:color="auto" w:fill="FFFFFF"/>
          </w:rPr>
          <w:t>H.R.485</w:t>
        </w:r>
      </w:hyperlink>
      <w:r w:rsidRPr="007C4F51">
        <w:rPr>
          <w:rStyle w:val="result-title"/>
          <w:rFonts w:asciiTheme="minorHAnsi" w:hAnsiTheme="minorHAnsi"/>
          <w:color w:val="333333"/>
          <w:shd w:val="clear" w:color="auto" w:fill="FFFFFF"/>
        </w:rPr>
        <w:t xml:space="preserve"> (McMorris Rodgers) Amends the Social Security </w:t>
      </w:r>
      <w:r w:rsidR="00E47266" w:rsidRPr="007C4F51">
        <w:rPr>
          <w:rStyle w:val="result-title"/>
          <w:rFonts w:asciiTheme="minorHAnsi" w:hAnsiTheme="minorHAnsi"/>
          <w:color w:val="333333"/>
          <w:shd w:val="clear" w:color="auto" w:fill="FFFFFF"/>
        </w:rPr>
        <w:t>Act</w:t>
      </w:r>
      <w:r w:rsidRPr="007C4F51">
        <w:rPr>
          <w:rStyle w:val="result-title"/>
          <w:rFonts w:asciiTheme="minorHAnsi" w:hAnsiTheme="minorHAnsi"/>
          <w:color w:val="333333"/>
          <w:shd w:val="clear" w:color="auto" w:fill="FFFFFF"/>
        </w:rPr>
        <w:t xml:space="preserve"> to prohibit the use of quality-adjusted life years (QALYs) and similar measures in coverage and payment determinations under Federal health care programs (introduced 1/24/23, referred to Energy and Commerce and Ways and Means; on 3/8/23, forwarded by </w:t>
      </w:r>
      <w:r w:rsidR="00501584" w:rsidRPr="007C4F51">
        <w:rPr>
          <w:rStyle w:val="result-title"/>
          <w:rFonts w:asciiTheme="minorHAnsi" w:hAnsiTheme="minorHAnsi"/>
          <w:color w:val="333333"/>
          <w:shd w:val="clear" w:color="auto" w:fill="FFFFFF"/>
        </w:rPr>
        <w:t>Energy and Commerce S</w:t>
      </w:r>
      <w:r w:rsidRPr="007C4F51">
        <w:rPr>
          <w:rStyle w:val="result-title"/>
          <w:rFonts w:asciiTheme="minorHAnsi" w:hAnsiTheme="minorHAnsi"/>
          <w:color w:val="333333"/>
          <w:shd w:val="clear" w:color="auto" w:fill="FFFFFF"/>
        </w:rPr>
        <w:t>ubcommittee</w:t>
      </w:r>
      <w:r w:rsidR="00501584" w:rsidRPr="007C4F51">
        <w:rPr>
          <w:rStyle w:val="result-title"/>
          <w:rFonts w:asciiTheme="minorHAnsi" w:hAnsiTheme="minorHAnsi"/>
          <w:color w:val="333333"/>
          <w:shd w:val="clear" w:color="auto" w:fill="FFFFFF"/>
        </w:rPr>
        <w:t xml:space="preserve"> on Health</w:t>
      </w:r>
      <w:r w:rsidRPr="007C4F51">
        <w:rPr>
          <w:rStyle w:val="result-title"/>
          <w:rFonts w:asciiTheme="minorHAnsi" w:hAnsiTheme="minorHAnsi"/>
          <w:color w:val="333333"/>
          <w:shd w:val="clear" w:color="auto" w:fill="FFFFFF"/>
        </w:rPr>
        <w:t xml:space="preserve"> to </w:t>
      </w:r>
      <w:r w:rsidR="00501584" w:rsidRPr="007C4F51">
        <w:rPr>
          <w:rStyle w:val="result-title"/>
          <w:rFonts w:asciiTheme="minorHAnsi" w:hAnsiTheme="minorHAnsi"/>
          <w:color w:val="333333"/>
          <w:shd w:val="clear" w:color="auto" w:fill="FFFFFF"/>
        </w:rPr>
        <w:t>the</w:t>
      </w:r>
      <w:r w:rsidRPr="007C4F51">
        <w:rPr>
          <w:rStyle w:val="result-title"/>
          <w:rFonts w:asciiTheme="minorHAnsi" w:hAnsiTheme="minorHAnsi"/>
          <w:color w:val="333333"/>
          <w:shd w:val="clear" w:color="auto" w:fill="FFFFFF"/>
        </w:rPr>
        <w:t xml:space="preserve"> full committee</w:t>
      </w:r>
      <w:r w:rsidR="00501584" w:rsidRPr="007C4F51">
        <w:rPr>
          <w:rStyle w:val="result-title"/>
          <w:rFonts w:asciiTheme="minorHAnsi" w:hAnsiTheme="minorHAnsi"/>
          <w:color w:val="333333"/>
          <w:shd w:val="clear" w:color="auto" w:fill="FFFFFF"/>
        </w:rPr>
        <w:t xml:space="preserve"> by</w:t>
      </w:r>
      <w:r w:rsidRPr="007C4F51">
        <w:rPr>
          <w:rStyle w:val="result-title"/>
          <w:rFonts w:asciiTheme="minorHAnsi" w:hAnsiTheme="minorHAnsi"/>
          <w:color w:val="333333"/>
          <w:shd w:val="clear" w:color="auto" w:fill="FFFFFF"/>
        </w:rPr>
        <w:t xml:space="preserve"> voice vote.</w:t>
      </w:r>
      <w:r w:rsidR="00501584" w:rsidRPr="007C4F51">
        <w:rPr>
          <w:rStyle w:val="result-title"/>
          <w:rFonts w:asciiTheme="minorHAnsi" w:hAnsiTheme="minorHAnsi"/>
          <w:color w:val="333333"/>
          <w:shd w:val="clear" w:color="auto" w:fill="FFFFFF"/>
        </w:rPr>
        <w:t>)</w:t>
      </w:r>
    </w:p>
    <w:p w14:paraId="53993D71" w14:textId="4A2EC24E" w:rsidR="00E47266" w:rsidRPr="007C4F51" w:rsidRDefault="00E47266" w:rsidP="007C4F51">
      <w:pPr>
        <w:spacing w:after="0"/>
        <w:rPr>
          <w:rStyle w:val="result-title"/>
          <w:rFonts w:asciiTheme="minorHAnsi" w:hAnsiTheme="minorHAnsi"/>
          <w:color w:val="333333"/>
          <w:shd w:val="clear" w:color="auto" w:fill="FFFFFF"/>
        </w:rPr>
      </w:pPr>
      <w:r w:rsidRPr="007C4F51">
        <w:rPr>
          <w:rFonts w:asciiTheme="minorHAnsi" w:eastAsia="Times New Roman" w:hAnsiTheme="minorHAnsi"/>
        </w:rPr>
        <w:t>Statement of Frank Pallone, (NJ-6</w:t>
      </w:r>
      <w:r w:rsidR="007C4F51" w:rsidRPr="007C4F51">
        <w:rPr>
          <w:rFonts w:asciiTheme="minorHAnsi" w:eastAsia="Times New Roman" w:hAnsiTheme="minorHAnsi"/>
          <w:vertAlign w:val="superscript"/>
        </w:rPr>
        <w:t>th</w:t>
      </w:r>
      <w:r w:rsidR="007C4F51" w:rsidRPr="007C4F51">
        <w:rPr>
          <w:rFonts w:asciiTheme="minorHAnsi" w:eastAsia="Times New Roman" w:hAnsiTheme="minorHAnsi"/>
        </w:rPr>
        <w:t>, D</w:t>
      </w:r>
      <w:r w:rsidRPr="007C4F51">
        <w:rPr>
          <w:rFonts w:asciiTheme="minorHAnsi" w:eastAsia="Times New Roman" w:hAnsiTheme="minorHAnsi"/>
        </w:rPr>
        <w:t>) Ranking Member of Energy and Commerce Committee:</w:t>
      </w:r>
    </w:p>
    <w:p w14:paraId="25E99673" w14:textId="7A138AE9" w:rsidR="006C164E" w:rsidRPr="007C4F51" w:rsidRDefault="006C164E" w:rsidP="007C4F51">
      <w:pPr>
        <w:spacing w:after="0" w:line="240" w:lineRule="auto"/>
        <w:ind w:left="720" w:right="720"/>
        <w:rPr>
          <w:rFonts w:asciiTheme="minorHAnsi" w:eastAsia="Times New Roman" w:hAnsiTheme="minorHAnsi"/>
        </w:rPr>
      </w:pPr>
      <w:r w:rsidRPr="007C4F51">
        <w:rPr>
          <w:rFonts w:asciiTheme="minorHAnsi" w:eastAsia="Times New Roman" w:hAnsiTheme="minorHAnsi"/>
        </w:rPr>
        <w:t>On H.R. 485, it’s unfortunate that we have not been able to reach an agreement. This is discouraging as my staff and I have worked in good faith on this bill. I need assurances that nothing in the legislation would go beyond banning the use of QALYs or could be used to delay or disrupt the implementation of the drug price negotiations in the Inflation Reduction Act. It is disappointing that the Majority chose to move forward with a partisan amendment.</w:t>
      </w:r>
    </w:p>
    <w:p w14:paraId="4C7B33FC" w14:textId="77777777" w:rsidR="007C4F51" w:rsidRDefault="007C4F51" w:rsidP="007C4F51">
      <w:pPr>
        <w:shd w:val="clear" w:color="auto" w:fill="FFFFFF"/>
        <w:spacing w:after="0" w:line="240" w:lineRule="auto"/>
        <w:rPr>
          <w:rFonts w:asciiTheme="minorHAnsi" w:eastAsia="Times New Roman" w:hAnsiTheme="minorHAnsi"/>
          <w:b/>
          <w:color w:val="333333"/>
        </w:rPr>
      </w:pPr>
    </w:p>
    <w:p w14:paraId="5C1DF33C" w14:textId="2FBEF9A0" w:rsidR="005436CC" w:rsidRPr="007C4F51" w:rsidRDefault="00501584" w:rsidP="007C4F51">
      <w:pPr>
        <w:shd w:val="clear" w:color="auto" w:fill="FFFFFF"/>
        <w:spacing w:after="0" w:line="240" w:lineRule="auto"/>
        <w:rPr>
          <w:rFonts w:asciiTheme="minorHAnsi" w:eastAsia="Times New Roman" w:hAnsiTheme="minorHAnsi"/>
          <w:bCs w:val="0"/>
          <w:color w:val="333333"/>
        </w:rPr>
      </w:pPr>
      <w:r w:rsidRPr="007C4F51">
        <w:rPr>
          <w:rFonts w:asciiTheme="minorHAnsi" w:eastAsia="Times New Roman" w:hAnsiTheme="minorHAnsi"/>
          <w:b/>
          <w:color w:val="333333"/>
        </w:rPr>
        <w:t>Better Care Better Jobs Act</w:t>
      </w:r>
      <w:r w:rsidRPr="007C4F51">
        <w:rPr>
          <w:rFonts w:asciiTheme="minorHAnsi" w:eastAsia="Times New Roman" w:hAnsiTheme="minorHAnsi"/>
          <w:bCs w:val="0"/>
          <w:color w:val="333333"/>
        </w:rPr>
        <w:t xml:space="preserve"> – </w:t>
      </w:r>
      <w:hyperlink r:id="rId21" w:history="1">
        <w:r w:rsidR="00FE6DB9" w:rsidRPr="007C4F51">
          <w:rPr>
            <w:rStyle w:val="Hyperlink"/>
            <w:rFonts w:asciiTheme="minorHAnsi" w:hAnsiTheme="minorHAnsi"/>
            <w:color w:val="24478F"/>
            <w:shd w:val="clear" w:color="auto" w:fill="FFFFFF"/>
          </w:rPr>
          <w:t>H.R.547</w:t>
        </w:r>
      </w:hyperlink>
      <w:r w:rsidR="00FE6DB9" w:rsidRPr="007C4F51">
        <w:rPr>
          <w:rFonts w:asciiTheme="minorHAnsi" w:hAnsiTheme="minorHAnsi"/>
        </w:rPr>
        <w:t xml:space="preserve"> /</w:t>
      </w:r>
      <w:r w:rsidR="00E47266" w:rsidRPr="007C4F51">
        <w:rPr>
          <w:rFonts w:asciiTheme="minorHAnsi" w:hAnsiTheme="minorHAnsi"/>
        </w:rPr>
        <w:t xml:space="preserve"> </w:t>
      </w:r>
      <w:hyperlink r:id="rId22" w:history="1">
        <w:r w:rsidR="00E47266" w:rsidRPr="007C4F51">
          <w:rPr>
            <w:rStyle w:val="Hyperlink"/>
            <w:rFonts w:asciiTheme="minorHAnsi" w:hAnsiTheme="minorHAnsi"/>
          </w:rPr>
          <w:t>S.100</w:t>
        </w:r>
      </w:hyperlink>
      <w:r w:rsidRPr="007C4F51">
        <w:rPr>
          <w:rFonts w:asciiTheme="minorHAnsi" w:eastAsia="Times New Roman" w:hAnsiTheme="minorHAnsi"/>
          <w:bCs w:val="0"/>
          <w:color w:val="333333"/>
        </w:rPr>
        <w:t xml:space="preserve"> (</w:t>
      </w:r>
      <w:r w:rsidR="005436CC" w:rsidRPr="007C4F51">
        <w:rPr>
          <w:rFonts w:asciiTheme="minorHAnsi" w:eastAsia="Times New Roman" w:hAnsiTheme="minorHAnsi"/>
          <w:bCs w:val="0"/>
          <w:color w:val="333333"/>
        </w:rPr>
        <w:t xml:space="preserve">Dingell and </w:t>
      </w:r>
      <w:r w:rsidRPr="007C4F51">
        <w:rPr>
          <w:rFonts w:asciiTheme="minorHAnsi" w:eastAsia="Times New Roman" w:hAnsiTheme="minorHAnsi"/>
          <w:bCs w:val="0"/>
          <w:color w:val="333333"/>
        </w:rPr>
        <w:t xml:space="preserve">Casey) </w:t>
      </w:r>
      <w:r w:rsidR="005436CC" w:rsidRPr="007C4F51">
        <w:rPr>
          <w:rFonts w:asciiTheme="minorHAnsi" w:eastAsia="Times New Roman" w:hAnsiTheme="minorHAnsi"/>
          <w:bCs w:val="0"/>
          <w:color w:val="333333"/>
        </w:rPr>
        <w:t xml:space="preserve">Provides </w:t>
      </w:r>
      <w:r w:rsidR="004D3849" w:rsidRPr="007C4F51">
        <w:rPr>
          <w:rFonts w:asciiTheme="minorHAnsi" w:eastAsia="Times New Roman" w:hAnsiTheme="minorHAnsi"/>
          <w:bCs w:val="0"/>
          <w:color w:val="333333"/>
        </w:rPr>
        <w:t>funds for the Centers for Medicare &amp; Medicaid Services to award planning grants, develop quality measures, and provide technical assistance to states regarding specified HCBS improvements, particularly with respect to access, utilization, and the associated workforce</w:t>
      </w:r>
      <w:r w:rsidR="005436CC" w:rsidRPr="007C4F51">
        <w:rPr>
          <w:rFonts w:asciiTheme="minorHAnsi" w:eastAsia="Times New Roman" w:hAnsiTheme="minorHAnsi"/>
          <w:bCs w:val="0"/>
          <w:color w:val="333333"/>
        </w:rPr>
        <w:t xml:space="preserve"> (introduced 1/26/23, referred</w:t>
      </w:r>
      <w:r w:rsidR="00E47266" w:rsidRPr="007C4F51">
        <w:rPr>
          <w:rFonts w:asciiTheme="minorHAnsi" w:eastAsia="Times New Roman" w:hAnsiTheme="minorHAnsi"/>
          <w:bCs w:val="0"/>
          <w:color w:val="333333"/>
        </w:rPr>
        <w:t xml:space="preserve"> to House Energy and Commerce and</w:t>
      </w:r>
      <w:r w:rsidR="005436CC" w:rsidRPr="007C4F51">
        <w:rPr>
          <w:rFonts w:asciiTheme="minorHAnsi" w:eastAsia="Times New Roman" w:hAnsiTheme="minorHAnsi"/>
          <w:bCs w:val="0"/>
          <w:color w:val="333333"/>
        </w:rPr>
        <w:t xml:space="preserve"> to</w:t>
      </w:r>
      <w:r w:rsidR="00E47266" w:rsidRPr="007C4F51">
        <w:rPr>
          <w:rFonts w:asciiTheme="minorHAnsi" w:eastAsia="Times New Roman" w:hAnsiTheme="minorHAnsi"/>
          <w:bCs w:val="0"/>
          <w:color w:val="333333"/>
        </w:rPr>
        <w:t xml:space="preserve"> Finance in Senate</w:t>
      </w:r>
      <w:r w:rsidR="004D3849" w:rsidRPr="007C4F51">
        <w:rPr>
          <w:rFonts w:asciiTheme="minorHAnsi" w:eastAsia="Times New Roman" w:hAnsiTheme="minorHAnsi"/>
          <w:bCs w:val="0"/>
          <w:color w:val="333333"/>
        </w:rPr>
        <w:t>. The bill also</w:t>
      </w:r>
      <w:r w:rsidR="00E47266" w:rsidRPr="007C4F51">
        <w:rPr>
          <w:rFonts w:asciiTheme="minorHAnsi" w:eastAsia="Times New Roman" w:hAnsiTheme="minorHAnsi"/>
          <w:bCs w:val="0"/>
          <w:color w:val="333333"/>
        </w:rPr>
        <w:t>:</w:t>
      </w:r>
      <w:r w:rsidR="004D3849" w:rsidRPr="007C4F51">
        <w:rPr>
          <w:rFonts w:asciiTheme="minorHAnsi" w:eastAsia="Times New Roman" w:hAnsiTheme="minorHAnsi"/>
          <w:bCs w:val="0"/>
          <w:color w:val="333333"/>
        </w:rPr>
        <w:t xml:space="preserve"> </w:t>
      </w:r>
    </w:p>
    <w:p w14:paraId="4FACEDB9" w14:textId="5EE73E48" w:rsidR="004D3849" w:rsidRPr="007C4F51" w:rsidRDefault="004D3849" w:rsidP="007C4F51">
      <w:pPr>
        <w:pStyle w:val="ListParagraph"/>
        <w:numPr>
          <w:ilvl w:val="0"/>
          <w:numId w:val="3"/>
        </w:numPr>
        <w:shd w:val="clear" w:color="auto" w:fill="FFFFFF"/>
        <w:spacing w:after="0" w:line="240" w:lineRule="auto"/>
        <w:rPr>
          <w:rFonts w:asciiTheme="minorHAnsi" w:eastAsia="Times New Roman" w:hAnsiTheme="minorHAnsi"/>
          <w:bCs w:val="0"/>
          <w:color w:val="333333"/>
        </w:rPr>
      </w:pPr>
      <w:r w:rsidRPr="007C4F51">
        <w:rPr>
          <w:rFonts w:asciiTheme="minorHAnsi" w:eastAsia="Times New Roman" w:hAnsiTheme="minorHAnsi"/>
          <w:bCs w:val="0"/>
          <w:color w:val="333333"/>
        </w:rPr>
        <w:t>increases the Federal Medical Assistance Percentage (i.e., federal matching rate) for HCBS in states that develop plans and meet specified benchmarks for improvements</w:t>
      </w:r>
      <w:r w:rsidR="005436CC" w:rsidRPr="007C4F51">
        <w:rPr>
          <w:rFonts w:asciiTheme="minorHAnsi" w:eastAsia="Times New Roman" w:hAnsiTheme="minorHAnsi"/>
          <w:bCs w:val="0"/>
          <w:color w:val="333333"/>
        </w:rPr>
        <w:t>,</w:t>
      </w:r>
    </w:p>
    <w:p w14:paraId="1248515E" w14:textId="77777777" w:rsidR="005436CC" w:rsidRPr="007C4F51" w:rsidRDefault="004D3849" w:rsidP="007C4F51">
      <w:pPr>
        <w:pStyle w:val="ListParagraph"/>
        <w:numPr>
          <w:ilvl w:val="1"/>
          <w:numId w:val="2"/>
        </w:numPr>
        <w:shd w:val="clear" w:color="auto" w:fill="FFFFFF"/>
        <w:spacing w:after="0" w:line="240" w:lineRule="auto"/>
        <w:rPr>
          <w:rFonts w:asciiTheme="minorHAnsi" w:eastAsia="Times New Roman" w:hAnsiTheme="minorHAnsi"/>
          <w:bCs w:val="0"/>
          <w:color w:val="333333"/>
        </w:rPr>
      </w:pPr>
      <w:r w:rsidRPr="007C4F51">
        <w:rPr>
          <w:rFonts w:asciiTheme="minorHAnsi" w:eastAsia="Times New Roman" w:hAnsiTheme="minorHAnsi"/>
          <w:bCs w:val="0"/>
          <w:color w:val="333333"/>
        </w:rPr>
        <w:t xml:space="preserve">makes permanent Money Follows the Person Rebalancing Demonstration Program (a grant program to help states increase the use of HCBS for long-term care and decrease the use of institutional care), and </w:t>
      </w:r>
    </w:p>
    <w:p w14:paraId="7A535455" w14:textId="49D512D5" w:rsidR="00501584" w:rsidRPr="007C4F51" w:rsidRDefault="005436CC" w:rsidP="007C4F51">
      <w:pPr>
        <w:pStyle w:val="ListParagraph"/>
        <w:numPr>
          <w:ilvl w:val="1"/>
          <w:numId w:val="2"/>
        </w:numPr>
        <w:shd w:val="clear" w:color="auto" w:fill="FFFFFF"/>
        <w:spacing w:after="0" w:line="240" w:lineRule="auto"/>
        <w:rPr>
          <w:rFonts w:asciiTheme="minorHAnsi" w:eastAsia="Times New Roman" w:hAnsiTheme="minorHAnsi"/>
          <w:bCs w:val="0"/>
          <w:color w:val="333333"/>
        </w:rPr>
      </w:pPr>
      <w:r w:rsidRPr="007C4F51">
        <w:rPr>
          <w:rFonts w:asciiTheme="minorHAnsi" w:eastAsia="Times New Roman" w:hAnsiTheme="minorHAnsi"/>
          <w:bCs w:val="0"/>
          <w:color w:val="333333"/>
        </w:rPr>
        <w:t>makes permanent</w:t>
      </w:r>
      <w:r w:rsidR="004D3849" w:rsidRPr="007C4F51">
        <w:rPr>
          <w:rFonts w:asciiTheme="minorHAnsi" w:eastAsia="Times New Roman" w:hAnsiTheme="minorHAnsi"/>
          <w:bCs w:val="0"/>
          <w:color w:val="333333"/>
        </w:rPr>
        <w:t xml:space="preserve"> certain provisions regarding Medicaid eligibility that protect against spousal impoverishment for recipients of HCBS.</w:t>
      </w:r>
      <w:r w:rsidR="00501584" w:rsidRPr="007C4F51">
        <w:rPr>
          <w:rFonts w:asciiTheme="minorHAnsi" w:hAnsiTheme="minorHAnsi"/>
        </w:rPr>
        <w:t xml:space="preserve"> </w:t>
      </w:r>
    </w:p>
    <w:p w14:paraId="3E44EF0B" w14:textId="62AF82BD" w:rsidR="004D3849" w:rsidRPr="007C4F51" w:rsidRDefault="006E24E4" w:rsidP="007C4F51">
      <w:pPr>
        <w:pStyle w:val="ListParagraph"/>
        <w:numPr>
          <w:ilvl w:val="0"/>
          <w:numId w:val="4"/>
        </w:numPr>
        <w:shd w:val="clear" w:color="auto" w:fill="FFFFFF"/>
        <w:spacing w:after="0" w:line="240" w:lineRule="auto"/>
        <w:rPr>
          <w:rFonts w:asciiTheme="minorHAnsi" w:eastAsia="Times New Roman" w:hAnsiTheme="minorHAnsi"/>
          <w:bCs w:val="0"/>
          <w:color w:val="333333"/>
        </w:rPr>
      </w:pPr>
      <w:r w:rsidRPr="007C4F51">
        <w:rPr>
          <w:rFonts w:asciiTheme="minorHAnsi" w:eastAsia="Times New Roman" w:hAnsiTheme="minorHAnsi"/>
          <w:bCs w:val="0"/>
          <w:color w:val="333333"/>
        </w:rPr>
        <w:t xml:space="preserve">Read the </w:t>
      </w:r>
      <w:hyperlink r:id="rId23" w:history="1">
        <w:r w:rsidRPr="007C4F51">
          <w:rPr>
            <w:rStyle w:val="Hyperlink"/>
            <w:rFonts w:asciiTheme="minorHAnsi" w:eastAsia="Times New Roman" w:hAnsiTheme="minorHAnsi"/>
            <w:bCs w:val="0"/>
          </w:rPr>
          <w:t>joint press release</w:t>
        </w:r>
      </w:hyperlink>
      <w:r w:rsidRPr="007C4F51">
        <w:rPr>
          <w:rFonts w:asciiTheme="minorHAnsi" w:eastAsia="Times New Roman" w:hAnsiTheme="minorHAnsi"/>
          <w:bCs w:val="0"/>
          <w:color w:val="333333"/>
        </w:rPr>
        <w:t xml:space="preserve"> of Rep. Dingell and Sen. Casey</w:t>
      </w:r>
    </w:p>
    <w:p w14:paraId="0DC4606D" w14:textId="77777777" w:rsidR="007C4F51" w:rsidRDefault="007C4F51" w:rsidP="007C4F51">
      <w:pPr>
        <w:spacing w:after="0"/>
        <w:rPr>
          <w:rFonts w:asciiTheme="minorHAnsi" w:hAnsiTheme="minorHAnsi"/>
          <w:b/>
          <w:bCs w:val="0"/>
        </w:rPr>
      </w:pPr>
    </w:p>
    <w:p w14:paraId="6097EAE5" w14:textId="2D86219D" w:rsidR="004D3849" w:rsidRPr="007C4F51" w:rsidRDefault="00EE74C9" w:rsidP="007C4F51">
      <w:pPr>
        <w:spacing w:after="0"/>
        <w:rPr>
          <w:rFonts w:asciiTheme="minorHAnsi" w:hAnsiTheme="minorHAnsi"/>
        </w:rPr>
      </w:pPr>
      <w:r w:rsidRPr="007C4F51">
        <w:rPr>
          <w:rFonts w:asciiTheme="minorHAnsi" w:hAnsiTheme="minorHAnsi"/>
          <w:b/>
          <w:bCs w:val="0"/>
        </w:rPr>
        <w:t>Social Security Terminology Changes to Help Americans Plan Better for Retirement</w:t>
      </w:r>
      <w:r w:rsidRPr="007C4F51">
        <w:rPr>
          <w:rFonts w:asciiTheme="minorHAnsi" w:hAnsiTheme="minorHAnsi"/>
        </w:rPr>
        <w:t xml:space="preserve"> S.</w:t>
      </w:r>
      <w:hyperlink r:id="rId24" w:history="1">
        <w:r w:rsidRPr="007C4F51">
          <w:rPr>
            <w:rStyle w:val="Hyperlink"/>
            <w:rFonts w:asciiTheme="minorHAnsi" w:hAnsiTheme="minorHAnsi"/>
          </w:rPr>
          <w:t>692</w:t>
        </w:r>
      </w:hyperlink>
      <w:r w:rsidRPr="007C4F51">
        <w:rPr>
          <w:rFonts w:asciiTheme="minorHAnsi" w:hAnsiTheme="minorHAnsi"/>
        </w:rPr>
        <w:t xml:space="preserve"> (Cassidy) Requires SSA to make changes to the terminology used in the rules, regulations, guidance, and other materials.  Specifically, </w:t>
      </w:r>
    </w:p>
    <w:p w14:paraId="39B379D5" w14:textId="42B101F4" w:rsidR="00EE74C9" w:rsidRPr="007C4F51" w:rsidRDefault="00EE74C9" w:rsidP="007C4F51">
      <w:pPr>
        <w:pStyle w:val="lbexindentparagraph"/>
        <w:numPr>
          <w:ilvl w:val="0"/>
          <w:numId w:val="5"/>
        </w:numPr>
        <w:shd w:val="clear" w:color="auto" w:fill="FFFFFF"/>
        <w:spacing w:before="0" w:beforeAutospacing="0" w:after="0" w:afterAutospacing="0"/>
        <w:rPr>
          <w:rFonts w:asciiTheme="minorHAnsi" w:hAnsiTheme="minorHAnsi" w:cstheme="minorHAnsi"/>
          <w:color w:val="333333"/>
        </w:rPr>
      </w:pPr>
      <w:r w:rsidRPr="007C4F51">
        <w:rPr>
          <w:rFonts w:asciiTheme="minorHAnsi" w:hAnsiTheme="minorHAnsi" w:cstheme="minorHAnsi"/>
          <w:color w:val="333333"/>
        </w:rPr>
        <w:t>the term “early eligibility age” is replaced with the term “minimum benefit age”</w:t>
      </w:r>
    </w:p>
    <w:p w14:paraId="3555C48F" w14:textId="111DE398" w:rsidR="00EE74C9" w:rsidRPr="007C4F51" w:rsidRDefault="00EE74C9" w:rsidP="007C4F51">
      <w:pPr>
        <w:pStyle w:val="lbexindentparagraph"/>
        <w:numPr>
          <w:ilvl w:val="0"/>
          <w:numId w:val="5"/>
        </w:numPr>
        <w:shd w:val="clear" w:color="auto" w:fill="FFFFFF"/>
        <w:spacing w:before="0" w:beforeAutospacing="0" w:after="0" w:afterAutospacing="0"/>
        <w:rPr>
          <w:rFonts w:asciiTheme="minorHAnsi" w:hAnsiTheme="minorHAnsi" w:cstheme="minorHAnsi"/>
          <w:color w:val="333333"/>
        </w:rPr>
      </w:pPr>
      <w:r w:rsidRPr="007C4F51">
        <w:rPr>
          <w:rFonts w:asciiTheme="minorHAnsi" w:hAnsiTheme="minorHAnsi" w:cstheme="minorHAnsi"/>
          <w:color w:val="333333"/>
        </w:rPr>
        <w:t>the terms “full retirement age” and “normal retirement age” are replaced with the term “standard benefit age” and</w:t>
      </w:r>
    </w:p>
    <w:p w14:paraId="3662762B" w14:textId="4CE1E513" w:rsidR="00EE74C9" w:rsidRPr="007C4F51" w:rsidRDefault="00EE74C9" w:rsidP="007C4F51">
      <w:pPr>
        <w:pStyle w:val="lbexindentparagraph"/>
        <w:numPr>
          <w:ilvl w:val="0"/>
          <w:numId w:val="5"/>
        </w:numPr>
        <w:shd w:val="clear" w:color="auto" w:fill="FFFFFF"/>
        <w:spacing w:before="0" w:beforeAutospacing="0" w:after="0" w:afterAutospacing="0"/>
        <w:rPr>
          <w:rFonts w:asciiTheme="minorHAnsi" w:hAnsiTheme="minorHAnsi" w:cstheme="minorHAnsi"/>
          <w:color w:val="333333"/>
        </w:rPr>
      </w:pPr>
      <w:r w:rsidRPr="007C4F51">
        <w:rPr>
          <w:rFonts w:asciiTheme="minorHAnsi" w:hAnsiTheme="minorHAnsi" w:cstheme="minorHAnsi"/>
          <w:color w:val="333333"/>
        </w:rPr>
        <w:lastRenderedPageBreak/>
        <w:t>the term “delayed retirement credit” shall not be used and any reference to age 70 as the maximum age up to which delayed retirement credits can be received shall be replaced with the term “maximum benefit age</w:t>
      </w:r>
      <w:r w:rsidR="00AC326C" w:rsidRPr="007C4F51">
        <w:rPr>
          <w:rFonts w:asciiTheme="minorHAnsi" w:hAnsiTheme="minorHAnsi" w:cstheme="minorHAnsi"/>
          <w:color w:val="333333"/>
        </w:rPr>
        <w:t>.</w:t>
      </w:r>
      <w:r w:rsidRPr="007C4F51">
        <w:rPr>
          <w:rFonts w:asciiTheme="minorHAnsi" w:hAnsiTheme="minorHAnsi" w:cstheme="minorHAnsi"/>
          <w:color w:val="333333"/>
        </w:rPr>
        <w:t>”</w:t>
      </w:r>
    </w:p>
    <w:p w14:paraId="600FEBC1" w14:textId="070CE41F" w:rsidR="00EE74C9" w:rsidRPr="007C4F51" w:rsidRDefault="00EE74C9" w:rsidP="007C4F51">
      <w:pPr>
        <w:pStyle w:val="ListParagraph"/>
        <w:numPr>
          <w:ilvl w:val="0"/>
          <w:numId w:val="4"/>
        </w:numPr>
        <w:spacing w:after="0"/>
        <w:rPr>
          <w:rFonts w:asciiTheme="minorHAnsi" w:hAnsiTheme="minorHAnsi"/>
        </w:rPr>
      </w:pPr>
      <w:r w:rsidRPr="007C4F51">
        <w:rPr>
          <w:rFonts w:asciiTheme="minorHAnsi" w:hAnsiTheme="minorHAnsi"/>
        </w:rPr>
        <w:t xml:space="preserve">Read the </w:t>
      </w:r>
      <w:hyperlink r:id="rId25" w:history="1">
        <w:r w:rsidRPr="007C4F51">
          <w:rPr>
            <w:rStyle w:val="Hyperlink"/>
            <w:rFonts w:asciiTheme="minorHAnsi" w:hAnsiTheme="minorHAnsi"/>
          </w:rPr>
          <w:t>joint press release</w:t>
        </w:r>
      </w:hyperlink>
      <w:r w:rsidRPr="007C4F51">
        <w:rPr>
          <w:rFonts w:asciiTheme="minorHAnsi" w:hAnsiTheme="minorHAnsi"/>
        </w:rPr>
        <w:t xml:space="preserve"> of Senators Cassidy, Kaine, Coons, and Collins.</w:t>
      </w:r>
    </w:p>
    <w:p w14:paraId="2DCAB208" w14:textId="77777777" w:rsidR="007C4F51" w:rsidRDefault="007C4F51" w:rsidP="007C4F51">
      <w:pPr>
        <w:spacing w:after="0"/>
        <w:rPr>
          <w:rFonts w:asciiTheme="minorHAnsi" w:hAnsiTheme="minorHAnsi"/>
          <w:b/>
          <w:bCs w:val="0"/>
        </w:rPr>
      </w:pPr>
    </w:p>
    <w:p w14:paraId="1498331C" w14:textId="41B3E7A6" w:rsidR="00EE74C9" w:rsidRPr="007C4F51" w:rsidRDefault="00AC326C" w:rsidP="007C4F51">
      <w:pPr>
        <w:spacing w:after="0"/>
        <w:rPr>
          <w:rFonts w:asciiTheme="minorHAnsi" w:hAnsiTheme="minorHAnsi"/>
        </w:rPr>
      </w:pPr>
      <w:r w:rsidRPr="007C4F51">
        <w:rPr>
          <w:rFonts w:asciiTheme="minorHAnsi" w:hAnsiTheme="minorHAnsi"/>
          <w:b/>
          <w:bCs w:val="0"/>
        </w:rPr>
        <w:t>Transformation to Competitive Integrated Employment Act</w:t>
      </w:r>
      <w:r w:rsidRPr="007C4F51">
        <w:rPr>
          <w:rFonts w:asciiTheme="minorHAnsi" w:hAnsiTheme="minorHAnsi"/>
        </w:rPr>
        <w:t xml:space="preserve"> – </w:t>
      </w:r>
      <w:hyperlink r:id="rId26" w:history="1">
        <w:r w:rsidRPr="007C4F51">
          <w:rPr>
            <w:rFonts w:asciiTheme="minorHAnsi" w:eastAsia="Times New Roman" w:hAnsiTheme="minorHAnsi"/>
            <w:bCs w:val="0"/>
            <w:color w:val="3366CC"/>
            <w:u w:val="single"/>
          </w:rPr>
          <w:t>H.R.1263</w:t>
        </w:r>
      </w:hyperlink>
      <w:r w:rsidRPr="007C4F51">
        <w:rPr>
          <w:rFonts w:asciiTheme="minorHAnsi" w:eastAsia="Times New Roman" w:hAnsiTheme="minorHAnsi"/>
          <w:bCs w:val="0"/>
          <w:color w:val="333333"/>
        </w:rPr>
        <w:t xml:space="preserve"> / </w:t>
      </w:r>
      <w:hyperlink r:id="rId27" w:history="1">
        <w:r w:rsidRPr="007C4F51">
          <w:rPr>
            <w:rFonts w:asciiTheme="minorHAnsi" w:eastAsia="Times New Roman" w:hAnsiTheme="minorHAnsi"/>
            <w:bCs w:val="0"/>
            <w:color w:val="3366CC"/>
            <w:u w:val="single"/>
          </w:rPr>
          <w:t>S.533</w:t>
        </w:r>
      </w:hyperlink>
      <w:r w:rsidRPr="007C4F51">
        <w:rPr>
          <w:rFonts w:asciiTheme="minorHAnsi" w:eastAsia="Times New Roman" w:hAnsiTheme="minorHAnsi"/>
          <w:bCs w:val="0"/>
          <w:color w:val="333333"/>
        </w:rPr>
        <w:t xml:space="preserve"> (Scott and Casey) </w:t>
      </w:r>
      <w:r w:rsidRPr="007C4F51">
        <w:rPr>
          <w:rFonts w:asciiTheme="minorHAnsi" w:hAnsiTheme="minorHAnsi"/>
          <w:color w:val="333333"/>
          <w:shd w:val="clear" w:color="auto" w:fill="FFFFFF"/>
        </w:rPr>
        <w:t>Assists employers providing employment under special certificates issued under section 14(c) of the Fair Labor Standards Act of 1938 in transforming their business and program models to models that support individuals with disabilities through competitive integrated employment, to phase out the use of such special certificates, and for other purposes (introduced 2/27/23, referred to House Committee on Education and the Workforce and to Committee on Health, Education, Labor, and Pensions in the Senate.)</w:t>
      </w:r>
    </w:p>
    <w:p w14:paraId="5CB5BB71" w14:textId="51D6F053" w:rsidR="00EE74C9" w:rsidRPr="007C4F51" w:rsidRDefault="00AC326C" w:rsidP="007C4F51">
      <w:pPr>
        <w:shd w:val="clear" w:color="auto" w:fill="FFFFFF"/>
        <w:spacing w:after="0" w:line="240" w:lineRule="auto"/>
        <w:ind w:right="-15"/>
        <w:rPr>
          <w:rFonts w:asciiTheme="minorHAnsi" w:eastAsia="Times New Roman" w:hAnsiTheme="minorHAnsi"/>
          <w:color w:val="333333"/>
        </w:rPr>
      </w:pPr>
      <w:r w:rsidRPr="007C4F51">
        <w:rPr>
          <w:rFonts w:asciiTheme="minorHAnsi" w:eastAsia="Times New Roman" w:hAnsiTheme="minorHAnsi"/>
          <w:b/>
          <w:bCs w:val="0"/>
          <w:color w:val="333333"/>
        </w:rPr>
        <w:t> </w:t>
      </w:r>
      <w:r w:rsidRPr="007C4F51">
        <w:rPr>
          <w:rFonts w:asciiTheme="minorHAnsi" w:eastAsia="Times New Roman" w:hAnsiTheme="minorHAnsi"/>
          <w:color w:val="333333"/>
        </w:rPr>
        <w:t xml:space="preserve">“This work started with creating and expanding ABLE accounts, which are empowering individuals with disabilities to reach their full potential. Today, with this bipartisan legislation, it </w:t>
      </w:r>
      <w:proofErr w:type="gramStart"/>
      <w:r w:rsidRPr="007C4F51">
        <w:rPr>
          <w:rFonts w:asciiTheme="minorHAnsi" w:eastAsia="Times New Roman" w:hAnsiTheme="minorHAnsi"/>
          <w:color w:val="333333"/>
        </w:rPr>
        <w:t>continues on</w:t>
      </w:r>
      <w:proofErr w:type="gramEnd"/>
      <w:r w:rsidRPr="007C4F51">
        <w:rPr>
          <w:rFonts w:asciiTheme="minorHAnsi" w:eastAsia="Times New Roman" w:hAnsiTheme="minorHAnsi"/>
          <w:color w:val="333333"/>
        </w:rPr>
        <w:t xml:space="preserve"> the next policy frontier – employment,” said Rep. McMorris Rodgers (WA-05, R)</w:t>
      </w:r>
    </w:p>
    <w:p w14:paraId="097040A5" w14:textId="348B8FE0" w:rsidR="00AC326C" w:rsidRPr="007C4F51" w:rsidRDefault="00AC326C" w:rsidP="007C4F51">
      <w:pPr>
        <w:pStyle w:val="ListParagraph"/>
        <w:numPr>
          <w:ilvl w:val="0"/>
          <w:numId w:val="4"/>
        </w:numPr>
        <w:shd w:val="clear" w:color="auto" w:fill="FFFFFF"/>
        <w:spacing w:after="0" w:line="240" w:lineRule="auto"/>
        <w:ind w:right="-15"/>
        <w:rPr>
          <w:rFonts w:asciiTheme="minorHAnsi" w:eastAsia="Times New Roman" w:hAnsiTheme="minorHAnsi"/>
          <w:bCs w:val="0"/>
          <w:color w:val="333333"/>
        </w:rPr>
      </w:pPr>
      <w:r w:rsidRPr="007C4F51">
        <w:rPr>
          <w:rFonts w:asciiTheme="minorHAnsi" w:eastAsia="Times New Roman" w:hAnsiTheme="minorHAnsi"/>
          <w:bCs w:val="0"/>
          <w:color w:val="333333"/>
        </w:rPr>
        <w:t xml:space="preserve">Read the </w:t>
      </w:r>
      <w:hyperlink r:id="rId28" w:history="1">
        <w:r w:rsidRPr="007C4F51">
          <w:rPr>
            <w:rStyle w:val="Hyperlink"/>
            <w:rFonts w:asciiTheme="minorHAnsi" w:eastAsia="Times New Roman" w:hAnsiTheme="minorHAnsi"/>
            <w:bCs w:val="0"/>
          </w:rPr>
          <w:t>joint press release</w:t>
        </w:r>
      </w:hyperlink>
      <w:r w:rsidRPr="007C4F51">
        <w:rPr>
          <w:rFonts w:asciiTheme="minorHAnsi" w:eastAsia="Times New Roman" w:hAnsiTheme="minorHAnsi"/>
          <w:bCs w:val="0"/>
          <w:color w:val="333333"/>
        </w:rPr>
        <w:t xml:space="preserve"> of Senators Casey and Daines and Reps. Scott and Rodgers</w:t>
      </w:r>
    </w:p>
    <w:p w14:paraId="1518D3EC" w14:textId="51D6EBB6" w:rsidR="00667D8B" w:rsidRPr="007C4F51" w:rsidRDefault="00667D8B" w:rsidP="007C4F51">
      <w:pPr>
        <w:pStyle w:val="ListParagraph"/>
        <w:numPr>
          <w:ilvl w:val="0"/>
          <w:numId w:val="4"/>
        </w:numPr>
        <w:shd w:val="clear" w:color="auto" w:fill="FFFFFF"/>
        <w:spacing w:after="0" w:line="240" w:lineRule="auto"/>
        <w:ind w:right="-15"/>
        <w:rPr>
          <w:rFonts w:asciiTheme="minorHAnsi" w:eastAsia="Times New Roman" w:hAnsiTheme="minorHAnsi"/>
          <w:bCs w:val="0"/>
          <w:color w:val="333333"/>
        </w:rPr>
      </w:pPr>
      <w:r w:rsidRPr="007C4F51">
        <w:rPr>
          <w:rFonts w:asciiTheme="minorHAnsi" w:eastAsia="Times New Roman" w:hAnsiTheme="minorHAnsi"/>
          <w:bCs w:val="0"/>
          <w:color w:val="333333"/>
        </w:rPr>
        <w:t xml:space="preserve">GAO Report: Despite Progress, Workers with Disabilities Still at High Risk of Earning Subminimum Wage: report </w:t>
      </w:r>
      <w:hyperlink r:id="rId29" w:history="1">
        <w:r w:rsidRPr="007C4F51">
          <w:rPr>
            <w:rStyle w:val="Hyperlink"/>
            <w:rFonts w:asciiTheme="minorHAnsi" w:eastAsia="Times New Roman" w:hAnsiTheme="minorHAnsi"/>
            <w:bCs w:val="0"/>
          </w:rPr>
          <w:t>highlights</w:t>
        </w:r>
      </w:hyperlink>
      <w:r w:rsidRPr="007C4F51">
        <w:rPr>
          <w:rFonts w:asciiTheme="minorHAnsi" w:eastAsia="Times New Roman" w:hAnsiTheme="minorHAnsi"/>
          <w:bCs w:val="0"/>
          <w:color w:val="333333"/>
        </w:rPr>
        <w:t xml:space="preserve"> or </w:t>
      </w:r>
      <w:hyperlink r:id="rId30" w:history="1">
        <w:r w:rsidRPr="007C4F51">
          <w:rPr>
            <w:rStyle w:val="Hyperlink"/>
            <w:rFonts w:asciiTheme="minorHAnsi" w:eastAsia="Times New Roman" w:hAnsiTheme="minorHAnsi"/>
            <w:bCs w:val="0"/>
          </w:rPr>
          <w:t>full report</w:t>
        </w:r>
      </w:hyperlink>
      <w:r w:rsidRPr="007C4F51">
        <w:rPr>
          <w:rFonts w:asciiTheme="minorHAnsi" w:eastAsia="Times New Roman" w:hAnsiTheme="minorHAnsi"/>
          <w:bCs w:val="0"/>
          <w:color w:val="333333"/>
        </w:rPr>
        <w:t xml:space="preserve"> </w:t>
      </w:r>
    </w:p>
    <w:p w14:paraId="0FEE9660" w14:textId="728ED77A" w:rsidR="00EE74C9" w:rsidRPr="007C4F51" w:rsidRDefault="00EE74C9" w:rsidP="007C4F51">
      <w:pPr>
        <w:spacing w:after="0"/>
        <w:rPr>
          <w:rFonts w:asciiTheme="minorHAnsi" w:hAnsiTheme="minorHAnsi"/>
        </w:rPr>
      </w:pPr>
    </w:p>
    <w:p w14:paraId="6CED56EF" w14:textId="17B07134" w:rsidR="00AD6D73" w:rsidRPr="007C4F51" w:rsidRDefault="00AD6D73" w:rsidP="007C4F51">
      <w:pPr>
        <w:spacing w:after="0"/>
        <w:rPr>
          <w:rFonts w:asciiTheme="minorHAnsi" w:hAnsiTheme="minorHAnsi"/>
        </w:rPr>
      </w:pPr>
      <w:r w:rsidRPr="007C4F51">
        <w:rPr>
          <w:rFonts w:asciiTheme="minorHAnsi" w:hAnsiTheme="minorHAnsi"/>
          <w:b/>
          <w:bCs w:val="0"/>
        </w:rPr>
        <w:t>Healthcare Worker Retention Act</w:t>
      </w:r>
      <w:r w:rsidRPr="007C4F51">
        <w:rPr>
          <w:rFonts w:asciiTheme="minorHAnsi" w:hAnsiTheme="minorHAnsi"/>
        </w:rPr>
        <w:t xml:space="preserve"> - </w:t>
      </w:r>
      <w:hyperlink r:id="rId31" w:history="1">
        <w:r w:rsidRPr="007C4F51">
          <w:rPr>
            <w:rStyle w:val="Hyperlink"/>
            <w:rFonts w:asciiTheme="minorHAnsi" w:hAnsiTheme="minorHAnsi"/>
          </w:rPr>
          <w:t>H.R. 1215</w:t>
        </w:r>
      </w:hyperlink>
      <w:r w:rsidRPr="007C4F51">
        <w:rPr>
          <w:rFonts w:asciiTheme="minorHAnsi" w:hAnsiTheme="minorHAnsi"/>
        </w:rPr>
        <w:t xml:space="preserve"> (Magaziner) Establishes through 2024 a new refundable health care worker tax credit, equal to $1,000 for individual taxpayers (1) who work in a healthcare setting as an employee or contractor for at least an average of 20 hours per week, and 3 months during each half of a taxable year; and (2) whose gross income does not exceed $100,000 ($200,000 for joint returns or for a surviving spouse). The bill  defines </w:t>
      </w:r>
      <w:r w:rsidRPr="007C4F51">
        <w:rPr>
          <w:rFonts w:asciiTheme="minorHAnsi" w:hAnsiTheme="minorHAnsi"/>
          <w:i/>
          <w:iCs/>
        </w:rPr>
        <w:t>healthcare setting</w:t>
      </w:r>
      <w:r w:rsidRPr="007C4F51">
        <w:rPr>
          <w:rFonts w:asciiTheme="minorHAnsi" w:hAnsiTheme="minorHAnsi"/>
        </w:rPr>
        <w:t> as an organization that provides healthcare services in specified settings, including a hospital, a nursing home, a community-based healthcare center, a school or college campus, a primary care facility, an assisted living facility, a hospice or home care, emergency medical services, or any other licensed facility that extends healthcare services to patients, including the elderly and disabled (introduced 2/27/23, referred to House Ways and Means).</w:t>
      </w:r>
    </w:p>
    <w:p w14:paraId="0F6F4727" w14:textId="27BA8B39" w:rsidR="00AC326C" w:rsidRDefault="00AC326C" w:rsidP="007C4F51">
      <w:pPr>
        <w:spacing w:after="0"/>
        <w:rPr>
          <w:rFonts w:asciiTheme="minorHAnsi" w:hAnsiTheme="minorHAnsi"/>
        </w:rPr>
      </w:pPr>
    </w:p>
    <w:p w14:paraId="3A7BCC18" w14:textId="045D6C4B" w:rsidR="00DD71A1" w:rsidRDefault="00DD71A1" w:rsidP="007C4F51">
      <w:pPr>
        <w:spacing w:after="0"/>
        <w:rPr>
          <w:rFonts w:asciiTheme="minorHAnsi" w:hAnsiTheme="minorHAnsi"/>
        </w:rPr>
      </w:pPr>
      <w:r w:rsidRPr="00DD71A1">
        <w:rPr>
          <w:rFonts w:asciiTheme="minorHAnsi" w:hAnsiTheme="minorHAnsi"/>
          <w:b/>
          <w:u w:val="single"/>
        </w:rPr>
        <w:t>MISCELLANEOUS</w:t>
      </w:r>
    </w:p>
    <w:p w14:paraId="65751A04" w14:textId="77777777" w:rsidR="00DD71A1" w:rsidRPr="007C4F51" w:rsidRDefault="00DD71A1" w:rsidP="007C4F51">
      <w:pPr>
        <w:spacing w:after="0"/>
        <w:rPr>
          <w:rFonts w:asciiTheme="minorHAnsi" w:hAnsiTheme="minorHAnsi"/>
        </w:rPr>
      </w:pPr>
    </w:p>
    <w:p w14:paraId="01932E48" w14:textId="4C035DEC" w:rsidR="000B4AFD" w:rsidRDefault="00000000" w:rsidP="007C4F51">
      <w:pPr>
        <w:spacing w:after="0"/>
        <w:rPr>
          <w:rFonts w:asciiTheme="minorHAnsi" w:hAnsiTheme="minorHAnsi"/>
        </w:rPr>
      </w:pPr>
      <w:hyperlink r:id="rId32" w:anchor=":~:text=Based%20on%20current%20COVID%2D19,day%20on%20May%2011%2C%202023." w:history="1">
        <w:r w:rsidR="00DD71A1" w:rsidRPr="00DD71A1">
          <w:rPr>
            <w:rStyle w:val="Hyperlink"/>
            <w:rFonts w:asciiTheme="minorHAnsi" w:hAnsiTheme="minorHAnsi"/>
          </w:rPr>
          <w:t>CMS Fact Sheet on Public Health Emergency Expiration</w:t>
        </w:r>
      </w:hyperlink>
    </w:p>
    <w:p w14:paraId="410CFC13" w14:textId="210541B9" w:rsidR="00DD71A1" w:rsidRPr="00DD71A1" w:rsidRDefault="00DD71A1" w:rsidP="00DD71A1">
      <w:pPr>
        <w:spacing w:after="0"/>
        <w:rPr>
          <w:rFonts w:asciiTheme="minorHAnsi" w:hAnsiTheme="minorHAnsi"/>
        </w:rPr>
      </w:pPr>
      <w:r>
        <w:rPr>
          <w:rFonts w:asciiTheme="minorHAnsi" w:hAnsiTheme="minorHAnsi"/>
        </w:rPr>
        <w:t xml:space="preserve">The Department of Health and Human Services Public Health Emergency will expire at the end of the day on May 11, 2023.  </w:t>
      </w:r>
      <w:r w:rsidRPr="00DD71A1">
        <w:rPr>
          <w:rFonts w:asciiTheme="minorHAnsi" w:hAnsiTheme="minorHAnsi"/>
        </w:rPr>
        <w:t>This fact sheet cover</w:t>
      </w:r>
      <w:r>
        <w:rPr>
          <w:rFonts w:asciiTheme="minorHAnsi" w:hAnsiTheme="minorHAnsi"/>
        </w:rPr>
        <w:t xml:space="preserve">s: </w:t>
      </w:r>
    </w:p>
    <w:p w14:paraId="2A2F2A36" w14:textId="1B7F29CC" w:rsidR="00DD71A1" w:rsidRPr="00DD71A1" w:rsidRDefault="00DD71A1" w:rsidP="00DD71A1">
      <w:pPr>
        <w:numPr>
          <w:ilvl w:val="0"/>
          <w:numId w:val="9"/>
        </w:numPr>
        <w:spacing w:after="0"/>
        <w:rPr>
          <w:rFonts w:asciiTheme="minorHAnsi" w:hAnsiTheme="minorHAnsi"/>
        </w:rPr>
      </w:pPr>
      <w:r w:rsidRPr="00DD71A1">
        <w:rPr>
          <w:rFonts w:asciiTheme="minorHAnsi" w:hAnsiTheme="minorHAnsi"/>
        </w:rPr>
        <w:t>COVID-19 vaccines, testing, and treatments</w:t>
      </w:r>
      <w:r>
        <w:rPr>
          <w:rFonts w:asciiTheme="minorHAnsi" w:hAnsiTheme="minorHAnsi"/>
        </w:rPr>
        <w:t xml:space="preserve"> for people on Medicare, Medicaid, and private insurance</w:t>
      </w:r>
      <w:r w:rsidRPr="00DD71A1">
        <w:rPr>
          <w:rFonts w:asciiTheme="minorHAnsi" w:hAnsiTheme="minorHAnsi"/>
        </w:rPr>
        <w:t>;</w:t>
      </w:r>
    </w:p>
    <w:p w14:paraId="6E733421" w14:textId="77777777" w:rsidR="00DD71A1" w:rsidRPr="00DD71A1" w:rsidRDefault="00DD71A1" w:rsidP="00DD71A1">
      <w:pPr>
        <w:numPr>
          <w:ilvl w:val="0"/>
          <w:numId w:val="9"/>
        </w:numPr>
        <w:spacing w:after="0"/>
        <w:rPr>
          <w:rFonts w:asciiTheme="minorHAnsi" w:hAnsiTheme="minorHAnsi"/>
        </w:rPr>
      </w:pPr>
      <w:r w:rsidRPr="00DD71A1">
        <w:rPr>
          <w:rFonts w:asciiTheme="minorHAnsi" w:hAnsiTheme="minorHAnsi"/>
        </w:rPr>
        <w:t>Telehealth services;</w:t>
      </w:r>
    </w:p>
    <w:p w14:paraId="54A3C003" w14:textId="77777777" w:rsidR="00DD71A1" w:rsidRPr="00DD71A1" w:rsidRDefault="00DD71A1" w:rsidP="00DD71A1">
      <w:pPr>
        <w:numPr>
          <w:ilvl w:val="0"/>
          <w:numId w:val="9"/>
        </w:numPr>
        <w:spacing w:after="0"/>
        <w:rPr>
          <w:rFonts w:asciiTheme="minorHAnsi" w:hAnsiTheme="minorHAnsi"/>
        </w:rPr>
      </w:pPr>
      <w:r w:rsidRPr="00DD71A1">
        <w:rPr>
          <w:rFonts w:asciiTheme="minorHAnsi" w:hAnsiTheme="minorHAnsi"/>
        </w:rPr>
        <w:t>Health Care Access: Continuing flexibilities for health care professionals; and</w:t>
      </w:r>
    </w:p>
    <w:p w14:paraId="290A0DD4" w14:textId="78733EE3" w:rsidR="00DD71A1" w:rsidRPr="00DD71A1" w:rsidRDefault="00DD71A1" w:rsidP="00DD71A1">
      <w:pPr>
        <w:numPr>
          <w:ilvl w:val="0"/>
          <w:numId w:val="9"/>
        </w:numPr>
        <w:spacing w:after="0"/>
        <w:rPr>
          <w:rFonts w:asciiTheme="minorHAnsi" w:hAnsiTheme="minorHAnsi"/>
        </w:rPr>
      </w:pPr>
      <w:r w:rsidRPr="00DD71A1">
        <w:rPr>
          <w:rFonts w:asciiTheme="minorHAnsi" w:hAnsiTheme="minorHAnsi"/>
        </w:rPr>
        <w:lastRenderedPageBreak/>
        <w:t>Inpatient Hospital Care at Home: Expanded hospital capacity by providing inpatient care in a patient’s home</w:t>
      </w:r>
      <w:r>
        <w:rPr>
          <w:rFonts w:asciiTheme="minorHAnsi" w:hAnsiTheme="minorHAnsi"/>
        </w:rPr>
        <w:t>.</w:t>
      </w:r>
    </w:p>
    <w:p w14:paraId="2EDF61DA" w14:textId="61B71F69" w:rsidR="00DD71A1" w:rsidRDefault="00DD71A1" w:rsidP="007C4F51">
      <w:pPr>
        <w:spacing w:after="0"/>
        <w:rPr>
          <w:rFonts w:asciiTheme="minorHAnsi" w:hAnsiTheme="minorHAnsi"/>
        </w:rPr>
      </w:pPr>
    </w:p>
    <w:p w14:paraId="493CEABE" w14:textId="2B32EC5E" w:rsidR="00DD71A1" w:rsidRDefault="00000000" w:rsidP="007C4F51">
      <w:pPr>
        <w:spacing w:after="0"/>
        <w:rPr>
          <w:rFonts w:asciiTheme="minorHAnsi" w:hAnsiTheme="minorHAnsi"/>
        </w:rPr>
      </w:pPr>
      <w:hyperlink r:id="rId33" w:history="1">
        <w:r w:rsidR="00DD71A1" w:rsidRPr="00DD71A1">
          <w:rPr>
            <w:rStyle w:val="Hyperlink"/>
            <w:rFonts w:asciiTheme="minorHAnsi" w:hAnsiTheme="minorHAnsi"/>
          </w:rPr>
          <w:t>House Rules Committee Changes Adopted for 118th Congress</w:t>
        </w:r>
      </w:hyperlink>
    </w:p>
    <w:p w14:paraId="5BA2A8EA" w14:textId="471F8089" w:rsidR="00C33738" w:rsidRPr="00C33738" w:rsidRDefault="00C33738" w:rsidP="007C4F51">
      <w:pPr>
        <w:spacing w:after="0"/>
        <w:rPr>
          <w:rFonts w:asciiTheme="minorHAnsi" w:hAnsiTheme="minorHAnsi"/>
        </w:rPr>
      </w:pPr>
      <w:r>
        <w:rPr>
          <w:rFonts w:asciiTheme="minorHAnsi" w:hAnsiTheme="minorHAnsi"/>
        </w:rPr>
        <w:t xml:space="preserve">The House Rules Committee controls which legislation </w:t>
      </w:r>
      <w:proofErr w:type="gramStart"/>
      <w:r>
        <w:rPr>
          <w:rFonts w:asciiTheme="minorHAnsi" w:hAnsiTheme="minorHAnsi"/>
        </w:rPr>
        <w:t>is brought</w:t>
      </w:r>
      <w:proofErr w:type="gramEnd"/>
      <w:r>
        <w:rPr>
          <w:rFonts w:asciiTheme="minorHAnsi" w:hAnsiTheme="minorHAnsi"/>
        </w:rPr>
        <w:t xml:space="preserve"> to the floor of the House of Representatives for a vote, as well as the length of debate, and allowance of amendments. </w:t>
      </w:r>
      <w:r w:rsidRPr="00C33738">
        <w:rPr>
          <w:rFonts w:asciiTheme="minorHAnsi" w:hAnsiTheme="minorHAnsi"/>
        </w:rPr>
        <w:t>A highly partisan committee that works closely with the Speaker, it generally fashions its “rules” with the aim to help or obstruct a bill.</w:t>
      </w:r>
      <w:r>
        <w:rPr>
          <w:rFonts w:asciiTheme="minorHAnsi" w:hAnsiTheme="minorHAnsi"/>
        </w:rPr>
        <w:t xml:space="preserve"> Part of the rules package that was passed this year is the provision that allows a singe member to force a vote on sacking the Speaker of the House. </w:t>
      </w:r>
    </w:p>
    <w:sectPr w:rsidR="00C33738" w:rsidRPr="00C33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F95"/>
    <w:multiLevelType w:val="multilevel"/>
    <w:tmpl w:val="065EB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31195"/>
    <w:multiLevelType w:val="hybridMultilevel"/>
    <w:tmpl w:val="502E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9546F"/>
    <w:multiLevelType w:val="hybridMultilevel"/>
    <w:tmpl w:val="836C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069A8"/>
    <w:multiLevelType w:val="multilevel"/>
    <w:tmpl w:val="55EA6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2505D9"/>
    <w:multiLevelType w:val="hybridMultilevel"/>
    <w:tmpl w:val="F6189E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5D2628"/>
    <w:multiLevelType w:val="hybridMultilevel"/>
    <w:tmpl w:val="B37A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A0E50"/>
    <w:multiLevelType w:val="hybridMultilevel"/>
    <w:tmpl w:val="753CE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9F23B9"/>
    <w:multiLevelType w:val="hybridMultilevel"/>
    <w:tmpl w:val="20CE09E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704D2"/>
    <w:multiLevelType w:val="multilevel"/>
    <w:tmpl w:val="2ECA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9238445">
    <w:abstractNumId w:val="1"/>
  </w:num>
  <w:num w:numId="2" w16cid:durableId="364260714">
    <w:abstractNumId w:val="7"/>
  </w:num>
  <w:num w:numId="3" w16cid:durableId="1552693516">
    <w:abstractNumId w:val="4"/>
  </w:num>
  <w:num w:numId="4" w16cid:durableId="1937593767">
    <w:abstractNumId w:val="2"/>
  </w:num>
  <w:num w:numId="5" w16cid:durableId="680395768">
    <w:abstractNumId w:val="6"/>
  </w:num>
  <w:num w:numId="6" w16cid:durableId="1483504297">
    <w:abstractNumId w:val="0"/>
  </w:num>
  <w:num w:numId="7" w16cid:durableId="1371494807">
    <w:abstractNumId w:val="3"/>
  </w:num>
  <w:num w:numId="8" w16cid:durableId="430901854">
    <w:abstractNumId w:val="5"/>
  </w:num>
  <w:num w:numId="9" w16cid:durableId="1776364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49"/>
    <w:rsid w:val="000B4AFD"/>
    <w:rsid w:val="0011441B"/>
    <w:rsid w:val="00125B1F"/>
    <w:rsid w:val="0014589B"/>
    <w:rsid w:val="00264DBA"/>
    <w:rsid w:val="00403927"/>
    <w:rsid w:val="004D3849"/>
    <w:rsid w:val="00501584"/>
    <w:rsid w:val="005436CC"/>
    <w:rsid w:val="00632D75"/>
    <w:rsid w:val="00667D8B"/>
    <w:rsid w:val="006C164E"/>
    <w:rsid w:val="006E24E4"/>
    <w:rsid w:val="006F04C3"/>
    <w:rsid w:val="007C4F51"/>
    <w:rsid w:val="00AC326C"/>
    <w:rsid w:val="00AD6D73"/>
    <w:rsid w:val="00B31428"/>
    <w:rsid w:val="00B859D8"/>
    <w:rsid w:val="00C33738"/>
    <w:rsid w:val="00D520B0"/>
    <w:rsid w:val="00DD71A1"/>
    <w:rsid w:val="00E47266"/>
    <w:rsid w:val="00ED54EC"/>
    <w:rsid w:val="00ED5A60"/>
    <w:rsid w:val="00EE201A"/>
    <w:rsid w:val="00EE74C9"/>
    <w:rsid w:val="00F76002"/>
    <w:rsid w:val="00FE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06B9"/>
  <w15:chartTrackingRefBased/>
  <w15:docId w15:val="{8980EAB6-B8A1-4C75-A487-8494D4F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HAns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ult-title">
    <w:name w:val="result-title"/>
    <w:basedOn w:val="DefaultParagraphFont"/>
    <w:rsid w:val="000B4AFD"/>
  </w:style>
  <w:style w:type="character" w:customStyle="1" w:styleId="result-item">
    <w:name w:val="result-item"/>
    <w:basedOn w:val="DefaultParagraphFont"/>
    <w:rsid w:val="000B4AFD"/>
  </w:style>
  <w:style w:type="character" w:styleId="Strong">
    <w:name w:val="Strong"/>
    <w:basedOn w:val="DefaultParagraphFont"/>
    <w:uiPriority w:val="22"/>
    <w:qFormat/>
    <w:rsid w:val="000B4AFD"/>
    <w:rPr>
      <w:b/>
      <w:bCs w:val="0"/>
    </w:rPr>
  </w:style>
  <w:style w:type="character" w:styleId="Hyperlink">
    <w:name w:val="Hyperlink"/>
    <w:basedOn w:val="DefaultParagraphFont"/>
    <w:uiPriority w:val="99"/>
    <w:unhideWhenUsed/>
    <w:rsid w:val="000B4AFD"/>
    <w:rPr>
      <w:color w:val="0000FF"/>
      <w:u w:val="single"/>
    </w:rPr>
  </w:style>
  <w:style w:type="paragraph" w:styleId="ListParagraph">
    <w:name w:val="List Paragraph"/>
    <w:basedOn w:val="Normal"/>
    <w:uiPriority w:val="34"/>
    <w:qFormat/>
    <w:rsid w:val="00ED54EC"/>
    <w:pPr>
      <w:ind w:left="720"/>
      <w:contextualSpacing/>
    </w:pPr>
  </w:style>
  <w:style w:type="character" w:styleId="UnresolvedMention">
    <w:name w:val="Unresolved Mention"/>
    <w:basedOn w:val="DefaultParagraphFont"/>
    <w:uiPriority w:val="99"/>
    <w:semiHidden/>
    <w:unhideWhenUsed/>
    <w:rsid w:val="00ED54EC"/>
    <w:rPr>
      <w:color w:val="605E5C"/>
      <w:shd w:val="clear" w:color="auto" w:fill="E1DFDD"/>
    </w:rPr>
  </w:style>
  <w:style w:type="character" w:styleId="FollowedHyperlink">
    <w:name w:val="FollowedHyperlink"/>
    <w:basedOn w:val="DefaultParagraphFont"/>
    <w:uiPriority w:val="99"/>
    <w:semiHidden/>
    <w:unhideWhenUsed/>
    <w:rsid w:val="005436CC"/>
    <w:rPr>
      <w:color w:val="954F72" w:themeColor="followedHyperlink"/>
      <w:u w:val="single"/>
    </w:rPr>
  </w:style>
  <w:style w:type="character" w:styleId="CommentReference">
    <w:name w:val="annotation reference"/>
    <w:basedOn w:val="DefaultParagraphFont"/>
    <w:uiPriority w:val="99"/>
    <w:semiHidden/>
    <w:unhideWhenUsed/>
    <w:rsid w:val="00E47266"/>
    <w:rPr>
      <w:sz w:val="16"/>
      <w:szCs w:val="16"/>
    </w:rPr>
  </w:style>
  <w:style w:type="paragraph" w:styleId="CommentText">
    <w:name w:val="annotation text"/>
    <w:basedOn w:val="Normal"/>
    <w:link w:val="CommentTextChar"/>
    <w:uiPriority w:val="99"/>
    <w:unhideWhenUsed/>
    <w:rsid w:val="00E47266"/>
    <w:pPr>
      <w:spacing w:line="240" w:lineRule="auto"/>
    </w:pPr>
    <w:rPr>
      <w:sz w:val="20"/>
      <w:szCs w:val="20"/>
    </w:rPr>
  </w:style>
  <w:style w:type="character" w:customStyle="1" w:styleId="CommentTextChar">
    <w:name w:val="Comment Text Char"/>
    <w:basedOn w:val="DefaultParagraphFont"/>
    <w:link w:val="CommentText"/>
    <w:uiPriority w:val="99"/>
    <w:rsid w:val="00E47266"/>
    <w:rPr>
      <w:sz w:val="20"/>
      <w:szCs w:val="20"/>
    </w:rPr>
  </w:style>
  <w:style w:type="paragraph" w:styleId="CommentSubject">
    <w:name w:val="annotation subject"/>
    <w:basedOn w:val="CommentText"/>
    <w:next w:val="CommentText"/>
    <w:link w:val="CommentSubjectChar"/>
    <w:uiPriority w:val="99"/>
    <w:semiHidden/>
    <w:unhideWhenUsed/>
    <w:rsid w:val="00E47266"/>
    <w:rPr>
      <w:b/>
    </w:rPr>
  </w:style>
  <w:style w:type="character" w:customStyle="1" w:styleId="CommentSubjectChar">
    <w:name w:val="Comment Subject Char"/>
    <w:basedOn w:val="CommentTextChar"/>
    <w:link w:val="CommentSubject"/>
    <w:uiPriority w:val="99"/>
    <w:semiHidden/>
    <w:rsid w:val="00E47266"/>
    <w:rPr>
      <w:b/>
      <w:sz w:val="20"/>
      <w:szCs w:val="20"/>
    </w:rPr>
  </w:style>
  <w:style w:type="paragraph" w:customStyle="1" w:styleId="lbexindentparagraph">
    <w:name w:val="lbexindentparagraph"/>
    <w:basedOn w:val="Normal"/>
    <w:rsid w:val="00EE74C9"/>
    <w:pPr>
      <w:spacing w:before="100" w:beforeAutospacing="1" w:after="100" w:afterAutospacing="1" w:line="240" w:lineRule="auto"/>
    </w:pPr>
    <w:rPr>
      <w:rFonts w:ascii="Times New Roman" w:eastAsia="Times New Roman" w:hAnsi="Times New Roman" w:cs="Times New Roman"/>
      <w:bCs w:val="0"/>
    </w:rPr>
  </w:style>
  <w:style w:type="paragraph" w:styleId="NormalWeb">
    <w:name w:val="Normal (Web)"/>
    <w:basedOn w:val="Normal"/>
    <w:uiPriority w:val="99"/>
    <w:semiHidden/>
    <w:unhideWhenUsed/>
    <w:rsid w:val="00DD71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23606">
      <w:bodyDiv w:val="1"/>
      <w:marLeft w:val="0"/>
      <w:marRight w:val="0"/>
      <w:marTop w:val="0"/>
      <w:marBottom w:val="0"/>
      <w:divBdr>
        <w:top w:val="none" w:sz="0" w:space="0" w:color="auto"/>
        <w:left w:val="none" w:sz="0" w:space="0" w:color="auto"/>
        <w:bottom w:val="none" w:sz="0" w:space="0" w:color="auto"/>
        <w:right w:val="none" w:sz="0" w:space="0" w:color="auto"/>
      </w:divBdr>
    </w:div>
    <w:div w:id="647511203">
      <w:bodyDiv w:val="1"/>
      <w:marLeft w:val="0"/>
      <w:marRight w:val="0"/>
      <w:marTop w:val="0"/>
      <w:marBottom w:val="0"/>
      <w:divBdr>
        <w:top w:val="none" w:sz="0" w:space="0" w:color="auto"/>
        <w:left w:val="none" w:sz="0" w:space="0" w:color="auto"/>
        <w:bottom w:val="none" w:sz="0" w:space="0" w:color="auto"/>
        <w:right w:val="none" w:sz="0" w:space="0" w:color="auto"/>
      </w:divBdr>
    </w:div>
    <w:div w:id="1008483474">
      <w:bodyDiv w:val="1"/>
      <w:marLeft w:val="0"/>
      <w:marRight w:val="0"/>
      <w:marTop w:val="0"/>
      <w:marBottom w:val="0"/>
      <w:divBdr>
        <w:top w:val="none" w:sz="0" w:space="0" w:color="auto"/>
        <w:left w:val="none" w:sz="0" w:space="0" w:color="auto"/>
        <w:bottom w:val="none" w:sz="0" w:space="0" w:color="auto"/>
        <w:right w:val="none" w:sz="0" w:space="0" w:color="auto"/>
      </w:divBdr>
      <w:divsChild>
        <w:div w:id="809713730">
          <w:marLeft w:val="0"/>
          <w:marRight w:val="0"/>
          <w:marTop w:val="0"/>
          <w:marBottom w:val="0"/>
          <w:divBdr>
            <w:top w:val="none" w:sz="0" w:space="0" w:color="auto"/>
            <w:left w:val="none" w:sz="0" w:space="0" w:color="auto"/>
            <w:bottom w:val="none" w:sz="0" w:space="0" w:color="auto"/>
            <w:right w:val="none" w:sz="0" w:space="0" w:color="auto"/>
          </w:divBdr>
        </w:div>
      </w:divsChild>
    </w:div>
    <w:div w:id="1573853611">
      <w:bodyDiv w:val="1"/>
      <w:marLeft w:val="0"/>
      <w:marRight w:val="0"/>
      <w:marTop w:val="0"/>
      <w:marBottom w:val="0"/>
      <w:divBdr>
        <w:top w:val="none" w:sz="0" w:space="0" w:color="auto"/>
        <w:left w:val="none" w:sz="0" w:space="0" w:color="auto"/>
        <w:bottom w:val="none" w:sz="0" w:space="0" w:color="auto"/>
        <w:right w:val="none" w:sz="0" w:space="0" w:color="auto"/>
      </w:divBdr>
      <w:divsChild>
        <w:div w:id="309944710">
          <w:marLeft w:val="0"/>
          <w:marRight w:val="0"/>
          <w:marTop w:val="0"/>
          <w:marBottom w:val="0"/>
          <w:divBdr>
            <w:top w:val="none" w:sz="0" w:space="0" w:color="auto"/>
            <w:left w:val="none" w:sz="0" w:space="0" w:color="auto"/>
            <w:bottom w:val="none" w:sz="0" w:space="0" w:color="auto"/>
            <w:right w:val="none" w:sz="0" w:space="0" w:color="auto"/>
          </w:divBdr>
        </w:div>
        <w:div w:id="18512600">
          <w:marLeft w:val="0"/>
          <w:marRight w:val="0"/>
          <w:marTop w:val="0"/>
          <w:marBottom w:val="0"/>
          <w:divBdr>
            <w:top w:val="none" w:sz="0" w:space="0" w:color="auto"/>
            <w:left w:val="none" w:sz="0" w:space="0" w:color="auto"/>
            <w:bottom w:val="none" w:sz="0" w:space="0" w:color="auto"/>
            <w:right w:val="none" w:sz="0" w:space="0" w:color="auto"/>
          </w:divBdr>
        </w:div>
      </w:divsChild>
    </w:div>
    <w:div w:id="1675760870">
      <w:bodyDiv w:val="1"/>
      <w:marLeft w:val="0"/>
      <w:marRight w:val="0"/>
      <w:marTop w:val="0"/>
      <w:marBottom w:val="0"/>
      <w:divBdr>
        <w:top w:val="none" w:sz="0" w:space="0" w:color="auto"/>
        <w:left w:val="none" w:sz="0" w:space="0" w:color="auto"/>
        <w:bottom w:val="none" w:sz="0" w:space="0" w:color="auto"/>
        <w:right w:val="none" w:sz="0" w:space="0" w:color="auto"/>
      </w:divBdr>
      <w:divsChild>
        <w:div w:id="1568108593">
          <w:marLeft w:val="0"/>
          <w:marRight w:val="0"/>
          <w:marTop w:val="0"/>
          <w:marBottom w:val="0"/>
          <w:divBdr>
            <w:top w:val="none" w:sz="0" w:space="0" w:color="auto"/>
            <w:left w:val="none" w:sz="0" w:space="0" w:color="auto"/>
            <w:bottom w:val="none" w:sz="0" w:space="0" w:color="auto"/>
            <w:right w:val="none" w:sz="0" w:space="0" w:color="auto"/>
          </w:divBdr>
        </w:div>
        <w:div w:id="778833837">
          <w:marLeft w:val="0"/>
          <w:marRight w:val="0"/>
          <w:marTop w:val="0"/>
          <w:marBottom w:val="0"/>
          <w:divBdr>
            <w:top w:val="none" w:sz="0" w:space="0" w:color="auto"/>
            <w:left w:val="none" w:sz="0" w:space="0" w:color="auto"/>
            <w:bottom w:val="none" w:sz="0" w:space="0" w:color="auto"/>
            <w:right w:val="none" w:sz="0" w:space="0" w:color="auto"/>
          </w:divBdr>
        </w:div>
        <w:div w:id="159370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8th-congress/house-bill/1046?q=%7B%22search%22%3A%5B%22Social+Security+Expansion+Act+of+2022%22%5D%7D&amp;s=4&amp;r=1" TargetMode="External"/><Relationship Id="rId13" Type="http://schemas.openxmlformats.org/officeDocument/2006/relationships/hyperlink" Target="https://www.congress.gov/bill/118th-congress/house-bill/883?q=%7B%22search%22%3A%5B%22Stop+the+Wait+Act%22%5D%7D&amp;s=6&amp;r=2" TargetMode="External"/><Relationship Id="rId18" Type="http://schemas.openxmlformats.org/officeDocument/2006/relationships/hyperlink" Target="https://www.congress.gov/bill/118th-congress/house-bill/716?q=%7B%22search%22%3A%5B%22Fairness+in+Social+Security+Act%22%5D%7D&amp;s=5&amp;r=4" TargetMode="External"/><Relationship Id="rId26" Type="http://schemas.openxmlformats.org/officeDocument/2006/relationships/hyperlink" Target="https://www.congress.gov/bill/118th-congress/house-bill/1263?q=%7B%22search%22%3A%5B%22Social+Security+disability%22%5D%7D&amp;s=7&amp;r=33" TargetMode="External"/><Relationship Id="rId3" Type="http://schemas.openxmlformats.org/officeDocument/2006/relationships/settings" Target="settings.xml"/><Relationship Id="rId21" Type="http://schemas.openxmlformats.org/officeDocument/2006/relationships/hyperlink" Target="https://www.congress.gov/bill/118th-congress/house-bill/547?q=%7B%22search%22%3A%5B%22Better+Care++Better+Jobs+Act%22%5D%7D&amp;s=3&amp;r=2" TargetMode="External"/><Relationship Id="rId34" Type="http://schemas.openxmlformats.org/officeDocument/2006/relationships/fontTable" Target="fontTable.xml"/><Relationship Id="rId7" Type="http://schemas.openxmlformats.org/officeDocument/2006/relationships/hyperlink" Target="https://www.congress.gov/bill/117th-congress/senate-bill/5013?q=%7B%22search%22%3A%5B%22disability%22%2C%22disability%22%5D%7D&amp;s=7&amp;r=14" TargetMode="External"/><Relationship Id="rId12" Type="http://schemas.openxmlformats.org/officeDocument/2006/relationships/hyperlink" Target="https://thehill.com/opinion/finance/3889950-sanderss-latest-shot-in-the-social-security-wars-could-wound-us-all/" TargetMode="External"/><Relationship Id="rId17" Type="http://schemas.openxmlformats.org/officeDocument/2006/relationships/hyperlink" Target="https://www.congress.gov/bill/118th-congress/senate-bill/597?q=%7B%22search%22%3A%5B%22Fairness+in+Social+Security+Act%22%5D%7D&amp;s=5&amp;r=3" TargetMode="External"/><Relationship Id="rId25" Type="http://schemas.openxmlformats.org/officeDocument/2006/relationships/hyperlink" Target="https://www.cassidy.senate.gov/newsroom/press-releases/cassidy-kaine-collins-coons-introduce-legislation-to-help-americans-better-plan-for-retirement" TargetMode="External"/><Relationship Id="rId33" Type="http://schemas.openxmlformats.org/officeDocument/2006/relationships/hyperlink" Target="https://rollcall.com/2023/01/09/house-adopts-rules-package-for-the-118th-congress/" TargetMode="External"/><Relationship Id="rId2" Type="http://schemas.openxmlformats.org/officeDocument/2006/relationships/styles" Target="styles.xml"/><Relationship Id="rId16" Type="http://schemas.openxmlformats.org/officeDocument/2006/relationships/hyperlink" Target="https://www.congress.gov/bill/118th-congress/house-bill/82?q=%7B%22search%22%3A%5B%22Fairness+in+Social+Security+Act%22%5D%7D&amp;s=5&amp;r=2" TargetMode="External"/><Relationship Id="rId20" Type="http://schemas.openxmlformats.org/officeDocument/2006/relationships/hyperlink" Target="https://www.congress.gov/bill/118th-congress/house-bill/485?q=%7B%22search%22%3A%5B%22HR+485%22%5D%7D&amp;s=1&amp;r=1" TargetMode="External"/><Relationship Id="rId29" Type="http://schemas.openxmlformats.org/officeDocument/2006/relationships/hyperlink" Target="https://www.gao.gov/assets/gao-23-105116-highlights.pdf" TargetMode="External"/><Relationship Id="rId1" Type="http://schemas.openxmlformats.org/officeDocument/2006/relationships/numbering" Target="numbering.xml"/><Relationship Id="rId6" Type="http://schemas.openxmlformats.org/officeDocument/2006/relationships/hyperlink" Target="https://www.congress.gov/bill/117th-congress/house-bill/9100?q=%7B%22search%22%3A%5B%22disability%22%2C%22disability%22%5D%7D&amp;s=7&amp;r=13" TargetMode="External"/><Relationship Id="rId11" Type="http://schemas.openxmlformats.org/officeDocument/2006/relationships/hyperlink" Target="https://www.sanders.senate.gov/wp-content/uploads/SandersLetter-2023-0213.pdf" TargetMode="External"/><Relationship Id="rId24" Type="http://schemas.openxmlformats.org/officeDocument/2006/relationships/hyperlink" Target="https://www.congress.gov/bill/118th-congress/senate-bill/692/text?s=2&amp;r=2&amp;q=%7B%22search%22%3A%5B%22social+security%22%5D%7D" TargetMode="External"/><Relationship Id="rId32" Type="http://schemas.openxmlformats.org/officeDocument/2006/relationships/hyperlink" Target="https://www.cms.gov/newsroom/fact-sheets/cms-waivers-flexibilities-and-transition-forward-covid-19-public-health-emergency" TargetMode="External"/><Relationship Id="rId5" Type="http://schemas.openxmlformats.org/officeDocument/2006/relationships/hyperlink" Target="https://members.specialneedsalliance.org/public-policy/advocacy-get-involved/" TargetMode="External"/><Relationship Id="rId15" Type="http://schemas.openxmlformats.org/officeDocument/2006/relationships/hyperlink" Target="https://doggett.house.gov/media/press-releases/stop-wait-remove-harmful-health-care-barriers-individuals-disabilities-0" TargetMode="External"/><Relationship Id="rId23" Type="http://schemas.openxmlformats.org/officeDocument/2006/relationships/hyperlink" Target="https://www.casey.senate.gov/news/releases/casey-dingell-introduce-bill-to-provide-historic-permanent-investment-in-home-care-for-seniors-and-people-with-disabilities" TargetMode="External"/><Relationship Id="rId28" Type="http://schemas.openxmlformats.org/officeDocument/2006/relationships/hyperlink" Target="https://mcmorris.house.gov/posts/mcmorris-rodgers-reintroduces-bipartisan-bicameral-legislation-to-create-equal-opportunities-in-employment-for-workers-with-disabilities" TargetMode="External"/><Relationship Id="rId10" Type="http://schemas.openxmlformats.org/officeDocument/2006/relationships/hyperlink" Target="https://www.sanders.senate.gov/wp-content/uploads/Social-Security-Expansion-Act-one-pager-Final.pdf" TargetMode="External"/><Relationship Id="rId19" Type="http://schemas.openxmlformats.org/officeDocument/2006/relationships/hyperlink" Target="https://www.socialsecurityintelligence.com/how-the-cpi-e-compares-with-the-cpi-w-for-the-annual-social-security-cola/" TargetMode="External"/><Relationship Id="rId31" Type="http://schemas.openxmlformats.org/officeDocument/2006/relationships/hyperlink" Target="https://www.congress.gov/bill/118th-congress/house-bill/1215?q=%7B%22search%22%3A%5B%22Disabled%22%5D%7D&amp;s=2&amp;r=7" TargetMode="External"/><Relationship Id="rId4" Type="http://schemas.openxmlformats.org/officeDocument/2006/relationships/webSettings" Target="webSettings.xml"/><Relationship Id="rId9" Type="http://schemas.openxmlformats.org/officeDocument/2006/relationships/hyperlink" Target="https://www.congress.gov/bill/118th-congress/senate-bill/393?q=%7B%22search%22%3A%5B%22Social+Security+Expansion+Act+of+2022%22%5D%7D&amp;s=4&amp;r=2" TargetMode="External"/><Relationship Id="rId14" Type="http://schemas.openxmlformats.org/officeDocument/2006/relationships/hyperlink" Target="https://www.congress.gov/bill/118th-congress/senate-bill/320?q=%7B%22search%22%3A%5B%22Stop+the+Wait+Act%22%5D%7D&amp;s=6&amp;r=1" TargetMode="External"/><Relationship Id="rId22" Type="http://schemas.openxmlformats.org/officeDocument/2006/relationships/hyperlink" Target="https://www.congress.gov/bill/118th-congress/senate-bill/100?q=%7B%22search%22%3A%5B%22S+100%22%5D%7D&amp;s=1&amp;r=1" TargetMode="External"/><Relationship Id="rId27" Type="http://schemas.openxmlformats.org/officeDocument/2006/relationships/hyperlink" Target="https://www.congress.gov/bill/118th-congress/senate-bill/533?q=%7B%22search%22%3A%5B%22Social+Security+disability%22%5D%7D&amp;s=7&amp;r=32" TargetMode="External"/><Relationship Id="rId30" Type="http://schemas.openxmlformats.org/officeDocument/2006/relationships/hyperlink" Target="https://www.gao.gov/products/gao-23-105116"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Gibson Lindberg</dc:creator>
  <cp:keywords/>
  <dc:description/>
  <cp:lastModifiedBy>Brian Lindberg</cp:lastModifiedBy>
  <cp:revision>2</cp:revision>
  <dcterms:created xsi:type="dcterms:W3CDTF">2023-03-27T23:56:00Z</dcterms:created>
  <dcterms:modified xsi:type="dcterms:W3CDTF">2023-03-27T23:56:00Z</dcterms:modified>
</cp:coreProperties>
</file>