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C913" w14:textId="6C864DEA" w:rsidR="009C04E9" w:rsidRDefault="009C04E9">
      <w:r w:rsidRPr="00987C44">
        <w:rPr>
          <w:b/>
          <w:bCs w:val="0"/>
          <w:i/>
          <w:iCs/>
          <w:noProof/>
        </w:rPr>
        <w:drawing>
          <wp:inline distT="0" distB="0" distL="0" distR="0" wp14:anchorId="776803EA" wp14:editId="6C6B163A">
            <wp:extent cx="4933950" cy="1076325"/>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33950" cy="1076325"/>
                    </a:xfrm>
                    <a:prstGeom prst="rect">
                      <a:avLst/>
                    </a:prstGeom>
                    <a:noFill/>
                    <a:ln>
                      <a:noFill/>
                    </a:ln>
                  </pic:spPr>
                </pic:pic>
              </a:graphicData>
            </a:graphic>
          </wp:inline>
        </w:drawing>
      </w:r>
    </w:p>
    <w:p w14:paraId="7CCA009C" w14:textId="54B09487" w:rsidR="009C04E9" w:rsidRDefault="009C04E9"/>
    <w:p w14:paraId="27720382" w14:textId="77777777" w:rsidR="009C04E9" w:rsidRPr="009F4594" w:rsidRDefault="009C04E9" w:rsidP="00E32553">
      <w:pPr>
        <w:pStyle w:val="Header"/>
        <w:spacing w:after="240"/>
        <w:rPr>
          <w:rFonts w:ascii="Cambria" w:hAnsi="Cambria"/>
          <w:b/>
          <w:bCs/>
          <w:i/>
          <w:iCs/>
          <w:color w:val="1F4E79"/>
          <w:u w:val="single"/>
          <w:lang w:eastAsia="ja-JP"/>
        </w:rPr>
      </w:pPr>
      <w:r w:rsidRPr="009F4594">
        <w:rPr>
          <w:rFonts w:ascii="Cambria" w:hAnsi="Cambria"/>
          <w:b/>
          <w:bCs/>
          <w:i/>
          <w:iCs/>
          <w:color w:val="1F4E79"/>
          <w:u w:val="single"/>
          <w:lang w:eastAsia="ja-JP"/>
        </w:rPr>
        <w:t>Hot off the Press:</w:t>
      </w:r>
    </w:p>
    <w:p w14:paraId="304E676E" w14:textId="61540842" w:rsidR="00264DBA" w:rsidRPr="009C04E9" w:rsidRDefault="002C2642" w:rsidP="00CB7C85">
      <w:pPr>
        <w:spacing w:after="120"/>
        <w:rPr>
          <w:b/>
          <w:bCs w:val="0"/>
        </w:rPr>
      </w:pPr>
      <w:r w:rsidRPr="009C04E9">
        <w:rPr>
          <w:b/>
          <w:bCs w:val="0"/>
        </w:rPr>
        <w:t>Happy New Year</w:t>
      </w:r>
      <w:r w:rsidR="004244A6" w:rsidRPr="009C04E9">
        <w:rPr>
          <w:b/>
          <w:bCs w:val="0"/>
        </w:rPr>
        <w:t xml:space="preserve"> and Welcome to the 118</w:t>
      </w:r>
      <w:r w:rsidR="004244A6" w:rsidRPr="009C04E9">
        <w:rPr>
          <w:b/>
          <w:bCs w:val="0"/>
          <w:vertAlign w:val="superscript"/>
        </w:rPr>
        <w:t>th</w:t>
      </w:r>
      <w:r w:rsidR="004244A6" w:rsidRPr="009C04E9">
        <w:rPr>
          <w:b/>
          <w:bCs w:val="0"/>
        </w:rPr>
        <w:t xml:space="preserve"> Congress</w:t>
      </w:r>
    </w:p>
    <w:p w14:paraId="7B15108D" w14:textId="63F09563" w:rsidR="002C2642" w:rsidRDefault="00CB7C85" w:rsidP="00CB7C85">
      <w:pPr>
        <w:spacing w:after="120"/>
      </w:pPr>
      <w:r>
        <w:t xml:space="preserve">The new Congress started with characteristic drama – but not the kind we usually see.  </w:t>
      </w:r>
      <w:r w:rsidR="00DB5607">
        <w:t xml:space="preserve">Historically, the </w:t>
      </w:r>
      <w:r w:rsidR="009C04E9">
        <w:t>excitement</w:t>
      </w:r>
      <w:r w:rsidR="00DB5607">
        <w:t xml:space="preserve"> comes from proud families witnessing the swearing in of their newly elected (or re-elected) loved one.  But those family scenes were put on hold by the tragicomedy of Representative </w:t>
      </w:r>
      <w:r>
        <w:t>Kevin McCarthy</w:t>
      </w:r>
      <w:r w:rsidR="00475944">
        <w:t xml:space="preserve"> (</w:t>
      </w:r>
      <w:r w:rsidR="009C04E9">
        <w:t>R-</w:t>
      </w:r>
      <w:r w:rsidR="00475944">
        <w:t>CA-20</w:t>
      </w:r>
      <w:r w:rsidR="00475944" w:rsidRPr="00475944">
        <w:rPr>
          <w:vertAlign w:val="superscript"/>
        </w:rPr>
        <w:t>th</w:t>
      </w:r>
      <w:r w:rsidR="00475944">
        <w:t>)</w:t>
      </w:r>
      <w:r w:rsidR="00DB5607">
        <w:t xml:space="preserve"> trying desperately to garner enough votes to become the </w:t>
      </w:r>
      <w:r>
        <w:t xml:space="preserve">new Speaker of the House.  </w:t>
      </w:r>
      <w:r w:rsidR="00E85982">
        <w:t>The fifteenth ballot was the charm.</w:t>
      </w:r>
      <w:r w:rsidR="00DB5607">
        <w:t xml:space="preserve"> </w:t>
      </w:r>
      <w:r w:rsidR="00E85982">
        <w:t>His second in command is Majority Leader Rep. Steve Scalise (</w:t>
      </w:r>
      <w:r w:rsidR="009C04E9">
        <w:t>R-</w:t>
      </w:r>
      <w:r w:rsidR="00E85982">
        <w:t>LA-1</w:t>
      </w:r>
      <w:r w:rsidR="00E85982" w:rsidRPr="00E85982">
        <w:rPr>
          <w:vertAlign w:val="superscript"/>
        </w:rPr>
        <w:t>st</w:t>
      </w:r>
      <w:r w:rsidR="00E85982">
        <w:t>) (“majority” because Republicans are in the majority and Democrats are in the minority)</w:t>
      </w:r>
      <w:r w:rsidR="009C04E9">
        <w:t xml:space="preserve">. </w:t>
      </w:r>
      <w:r w:rsidR="00E85982">
        <w:t xml:space="preserve"> Meanwhile, across the aisle, the Democrats were voting unanimously on their choice for </w:t>
      </w:r>
      <w:r w:rsidR="009C04E9">
        <w:t xml:space="preserve">Speaker, their </w:t>
      </w:r>
      <w:r w:rsidR="0028741E">
        <w:t>M</w:t>
      </w:r>
      <w:r w:rsidR="00E85982">
        <w:t xml:space="preserve">inority </w:t>
      </w:r>
      <w:r w:rsidR="0028741E">
        <w:t>L</w:t>
      </w:r>
      <w:r w:rsidR="00E85982">
        <w:t>eader</w:t>
      </w:r>
      <w:r w:rsidR="009C04E9">
        <w:t>,</w:t>
      </w:r>
      <w:r w:rsidR="00E85982">
        <w:t xml:space="preserve"> Rep. Hakeem Jeffries (</w:t>
      </w:r>
      <w:r w:rsidR="009C04E9">
        <w:t>D-</w:t>
      </w:r>
      <w:r w:rsidR="00E85982">
        <w:t>NY-8</w:t>
      </w:r>
      <w:r w:rsidR="00E85982" w:rsidRPr="00E85982">
        <w:rPr>
          <w:vertAlign w:val="superscript"/>
        </w:rPr>
        <w:t>th</w:t>
      </w:r>
      <w:r w:rsidR="00E85982">
        <w:t xml:space="preserve">), the first African American </w:t>
      </w:r>
      <w:r w:rsidR="0028741E">
        <w:t>M</w:t>
      </w:r>
      <w:r w:rsidR="00E85982">
        <w:t xml:space="preserve">inority </w:t>
      </w:r>
      <w:r w:rsidR="0028741E">
        <w:t>L</w:t>
      </w:r>
      <w:r w:rsidR="00E85982">
        <w:t xml:space="preserve">eader. </w:t>
      </w:r>
      <w:r w:rsidR="009C04E9">
        <w:t xml:space="preserve"> </w:t>
      </w:r>
      <w:r w:rsidR="00E85982">
        <w:t>Second in command for the Dems is Minority Whip Katherine Clark (</w:t>
      </w:r>
      <w:r w:rsidR="009C04E9">
        <w:t>D-</w:t>
      </w:r>
      <w:r w:rsidR="00E85982">
        <w:t>MA-5</w:t>
      </w:r>
      <w:r w:rsidR="00E85982" w:rsidRPr="00E85982">
        <w:rPr>
          <w:vertAlign w:val="superscript"/>
        </w:rPr>
        <w:t>th</w:t>
      </w:r>
      <w:r w:rsidR="00E85982">
        <w:t xml:space="preserve">).  </w:t>
      </w:r>
    </w:p>
    <w:p w14:paraId="5FAF8A6E" w14:textId="3700C366" w:rsidR="00B34062" w:rsidRDefault="00B34062" w:rsidP="00CB7C85">
      <w:pPr>
        <w:spacing w:after="120"/>
      </w:pPr>
      <w:r>
        <w:t>On the Senate side, the leadership positions have remained the same as the 117</w:t>
      </w:r>
      <w:r w:rsidRPr="00B34062">
        <w:rPr>
          <w:vertAlign w:val="superscript"/>
        </w:rPr>
        <w:t>th</w:t>
      </w:r>
      <w:r>
        <w:t xml:space="preserve"> Congress, with Senator Charles Schumer (D-NY) as Majority Leader, Sen. Dick Durbin (D-IL) as Majority Whip, Sen. Mitch McConnell as Minority Leader and Sen. John Thune (R-SD) as Minority Whip. </w:t>
      </w:r>
    </w:p>
    <w:p w14:paraId="03E71FAD" w14:textId="1F9FEFFA" w:rsidR="0028741E" w:rsidRDefault="0028741E" w:rsidP="0028741E">
      <w:pPr>
        <w:spacing w:after="0" w:line="240" w:lineRule="auto"/>
      </w:pPr>
      <w:r>
        <w:t>All House committee chairs are now Republicans, with Democrats in the role of Ranking Member</w:t>
      </w:r>
      <w:r w:rsidR="005F732D">
        <w:t xml:space="preserve"> (R: 222; D: 212). </w:t>
      </w:r>
      <w:r w:rsidR="009C04E9">
        <w:t xml:space="preserve"> </w:t>
      </w:r>
      <w:r>
        <w:t xml:space="preserve">Some of the key committees and leaders are listed below, find a complete list of committees and their members </w:t>
      </w:r>
      <w:hyperlink r:id="rId7" w:history="1">
        <w:r w:rsidRPr="0028741E">
          <w:rPr>
            <w:rStyle w:val="Hyperlink"/>
          </w:rPr>
          <w:t>here</w:t>
        </w:r>
      </w:hyperlink>
      <w:r>
        <w:t>.</w:t>
      </w:r>
    </w:p>
    <w:tbl>
      <w:tblPr>
        <w:tblStyle w:val="TableGrid"/>
        <w:tblW w:w="0" w:type="auto"/>
        <w:tblLook w:val="04A0" w:firstRow="1" w:lastRow="0" w:firstColumn="1" w:lastColumn="0" w:noHBand="0" w:noVBand="1"/>
      </w:tblPr>
      <w:tblGrid>
        <w:gridCol w:w="3505"/>
        <w:gridCol w:w="3420"/>
        <w:gridCol w:w="2425"/>
      </w:tblGrid>
      <w:tr w:rsidR="0028741E" w14:paraId="4DE17CD3" w14:textId="77777777" w:rsidTr="00CB05E9">
        <w:tc>
          <w:tcPr>
            <w:tcW w:w="3505" w:type="dxa"/>
          </w:tcPr>
          <w:p w14:paraId="5269F9A5" w14:textId="55EA5488" w:rsidR="0028741E" w:rsidRPr="001E31C6" w:rsidRDefault="00CB05E9" w:rsidP="0028741E">
            <w:pPr>
              <w:rPr>
                <w:b/>
                <w:bCs w:val="0"/>
                <w:sz w:val="20"/>
                <w:szCs w:val="20"/>
              </w:rPr>
            </w:pPr>
            <w:r w:rsidRPr="001E31C6">
              <w:rPr>
                <w:b/>
                <w:bCs w:val="0"/>
                <w:sz w:val="20"/>
                <w:szCs w:val="20"/>
              </w:rPr>
              <w:t>U.S. House of Rep. Committee</w:t>
            </w:r>
          </w:p>
        </w:tc>
        <w:tc>
          <w:tcPr>
            <w:tcW w:w="3420" w:type="dxa"/>
          </w:tcPr>
          <w:p w14:paraId="469B0569" w14:textId="1C47032F" w:rsidR="0028741E" w:rsidRPr="001E31C6" w:rsidRDefault="0028741E" w:rsidP="0028741E">
            <w:pPr>
              <w:rPr>
                <w:b/>
                <w:bCs w:val="0"/>
                <w:sz w:val="20"/>
                <w:szCs w:val="20"/>
              </w:rPr>
            </w:pPr>
            <w:r w:rsidRPr="001E31C6">
              <w:rPr>
                <w:b/>
                <w:bCs w:val="0"/>
                <w:sz w:val="20"/>
                <w:szCs w:val="20"/>
              </w:rPr>
              <w:t>Chair (R)</w:t>
            </w:r>
          </w:p>
        </w:tc>
        <w:tc>
          <w:tcPr>
            <w:tcW w:w="2425" w:type="dxa"/>
          </w:tcPr>
          <w:p w14:paraId="442B5826" w14:textId="743599EA" w:rsidR="0028741E" w:rsidRPr="001E31C6" w:rsidRDefault="0028741E" w:rsidP="0028741E">
            <w:pPr>
              <w:rPr>
                <w:b/>
                <w:bCs w:val="0"/>
                <w:sz w:val="20"/>
                <w:szCs w:val="20"/>
              </w:rPr>
            </w:pPr>
            <w:r w:rsidRPr="001E31C6">
              <w:rPr>
                <w:b/>
                <w:bCs w:val="0"/>
                <w:sz w:val="20"/>
                <w:szCs w:val="20"/>
              </w:rPr>
              <w:t>Ranking (D)</w:t>
            </w:r>
          </w:p>
        </w:tc>
      </w:tr>
      <w:tr w:rsidR="0028741E" w14:paraId="601C95BD" w14:textId="77777777" w:rsidTr="00CB05E9">
        <w:tc>
          <w:tcPr>
            <w:tcW w:w="3505" w:type="dxa"/>
          </w:tcPr>
          <w:p w14:paraId="06532E71" w14:textId="6DF6893D" w:rsidR="0028741E" w:rsidRPr="001E31C6" w:rsidRDefault="0028741E" w:rsidP="0028741E">
            <w:pPr>
              <w:rPr>
                <w:sz w:val="20"/>
                <w:szCs w:val="20"/>
              </w:rPr>
            </w:pPr>
            <w:r w:rsidRPr="001E31C6">
              <w:rPr>
                <w:sz w:val="20"/>
                <w:szCs w:val="20"/>
              </w:rPr>
              <w:t>Appropriations</w:t>
            </w:r>
          </w:p>
        </w:tc>
        <w:tc>
          <w:tcPr>
            <w:tcW w:w="3420" w:type="dxa"/>
          </w:tcPr>
          <w:p w14:paraId="40296A6F" w14:textId="16154C31" w:rsidR="0028741E" w:rsidRPr="001E31C6" w:rsidRDefault="0028741E" w:rsidP="0028741E">
            <w:pPr>
              <w:rPr>
                <w:sz w:val="20"/>
                <w:szCs w:val="20"/>
              </w:rPr>
            </w:pPr>
            <w:r w:rsidRPr="001E31C6">
              <w:rPr>
                <w:sz w:val="20"/>
                <w:szCs w:val="20"/>
              </w:rPr>
              <w:t>Kay Granger (TX)</w:t>
            </w:r>
          </w:p>
        </w:tc>
        <w:tc>
          <w:tcPr>
            <w:tcW w:w="2425" w:type="dxa"/>
          </w:tcPr>
          <w:p w14:paraId="0FE505CF" w14:textId="2EDEC014" w:rsidR="0028741E" w:rsidRPr="001E31C6" w:rsidRDefault="0028741E" w:rsidP="0028741E">
            <w:pPr>
              <w:rPr>
                <w:sz w:val="20"/>
                <w:szCs w:val="20"/>
              </w:rPr>
            </w:pPr>
            <w:r w:rsidRPr="001E31C6">
              <w:rPr>
                <w:sz w:val="20"/>
                <w:szCs w:val="20"/>
              </w:rPr>
              <w:t>Rosa DeLauro (CT)</w:t>
            </w:r>
          </w:p>
        </w:tc>
      </w:tr>
      <w:tr w:rsidR="0028741E" w14:paraId="555B9CD3" w14:textId="77777777" w:rsidTr="00CB05E9">
        <w:tc>
          <w:tcPr>
            <w:tcW w:w="3505" w:type="dxa"/>
          </w:tcPr>
          <w:p w14:paraId="5E7E8E61" w14:textId="69068981" w:rsidR="0028741E" w:rsidRPr="001E31C6" w:rsidRDefault="0028741E" w:rsidP="0028741E">
            <w:pPr>
              <w:rPr>
                <w:sz w:val="20"/>
                <w:szCs w:val="20"/>
              </w:rPr>
            </w:pPr>
            <w:r w:rsidRPr="001E31C6">
              <w:rPr>
                <w:sz w:val="20"/>
                <w:szCs w:val="20"/>
              </w:rPr>
              <w:t>Budget</w:t>
            </w:r>
          </w:p>
        </w:tc>
        <w:tc>
          <w:tcPr>
            <w:tcW w:w="3420" w:type="dxa"/>
          </w:tcPr>
          <w:p w14:paraId="38291660" w14:textId="48C1E898" w:rsidR="0028741E" w:rsidRPr="001E31C6" w:rsidRDefault="0028741E" w:rsidP="0028741E">
            <w:pPr>
              <w:rPr>
                <w:sz w:val="20"/>
                <w:szCs w:val="20"/>
              </w:rPr>
            </w:pPr>
            <w:r w:rsidRPr="001E31C6">
              <w:rPr>
                <w:sz w:val="20"/>
                <w:szCs w:val="20"/>
              </w:rPr>
              <w:t>Jodey Arrington (TX)</w:t>
            </w:r>
          </w:p>
        </w:tc>
        <w:tc>
          <w:tcPr>
            <w:tcW w:w="2425" w:type="dxa"/>
          </w:tcPr>
          <w:p w14:paraId="1B4C3360" w14:textId="237BBE75" w:rsidR="0028741E" w:rsidRPr="001E31C6" w:rsidRDefault="0028741E" w:rsidP="0028741E">
            <w:pPr>
              <w:rPr>
                <w:sz w:val="20"/>
                <w:szCs w:val="20"/>
              </w:rPr>
            </w:pPr>
            <w:r w:rsidRPr="001E31C6">
              <w:rPr>
                <w:sz w:val="20"/>
                <w:szCs w:val="20"/>
              </w:rPr>
              <w:t>Brendan Boyle (PA)</w:t>
            </w:r>
            <w:r w:rsidRPr="001E31C6">
              <w:rPr>
                <w:sz w:val="20"/>
                <w:szCs w:val="20"/>
              </w:rPr>
              <w:tab/>
            </w:r>
          </w:p>
        </w:tc>
      </w:tr>
      <w:tr w:rsidR="0028741E" w14:paraId="46491797" w14:textId="77777777" w:rsidTr="00CB05E9">
        <w:tc>
          <w:tcPr>
            <w:tcW w:w="3505" w:type="dxa"/>
          </w:tcPr>
          <w:p w14:paraId="369C3846" w14:textId="7D56F5C1" w:rsidR="0028741E" w:rsidRPr="001E31C6" w:rsidRDefault="0028741E" w:rsidP="0028741E">
            <w:pPr>
              <w:rPr>
                <w:sz w:val="20"/>
                <w:szCs w:val="20"/>
              </w:rPr>
            </w:pPr>
            <w:r w:rsidRPr="001E31C6">
              <w:rPr>
                <w:sz w:val="20"/>
                <w:szCs w:val="20"/>
              </w:rPr>
              <w:t>Education and the Workforce</w:t>
            </w:r>
          </w:p>
        </w:tc>
        <w:tc>
          <w:tcPr>
            <w:tcW w:w="3420" w:type="dxa"/>
          </w:tcPr>
          <w:p w14:paraId="2227A54E" w14:textId="6D43D5FF" w:rsidR="0028741E" w:rsidRPr="001E31C6" w:rsidRDefault="0028741E" w:rsidP="0028741E">
            <w:pPr>
              <w:rPr>
                <w:sz w:val="20"/>
                <w:szCs w:val="20"/>
              </w:rPr>
            </w:pPr>
            <w:r w:rsidRPr="001E31C6">
              <w:rPr>
                <w:sz w:val="20"/>
                <w:szCs w:val="20"/>
              </w:rPr>
              <w:t>Virginia Foxx (NC)</w:t>
            </w:r>
          </w:p>
        </w:tc>
        <w:tc>
          <w:tcPr>
            <w:tcW w:w="2425" w:type="dxa"/>
          </w:tcPr>
          <w:p w14:paraId="65FD6CF0" w14:textId="0253E3A5" w:rsidR="0028741E" w:rsidRPr="001E31C6" w:rsidRDefault="0028741E" w:rsidP="0028741E">
            <w:pPr>
              <w:rPr>
                <w:sz w:val="20"/>
                <w:szCs w:val="20"/>
              </w:rPr>
            </w:pPr>
            <w:r w:rsidRPr="001E31C6">
              <w:rPr>
                <w:sz w:val="20"/>
                <w:szCs w:val="20"/>
              </w:rPr>
              <w:t>Bobby Scott (VA)</w:t>
            </w:r>
          </w:p>
        </w:tc>
      </w:tr>
      <w:tr w:rsidR="0028741E" w14:paraId="5932212E" w14:textId="77777777" w:rsidTr="00CB05E9">
        <w:tc>
          <w:tcPr>
            <w:tcW w:w="3505" w:type="dxa"/>
          </w:tcPr>
          <w:p w14:paraId="7D1AE4FA" w14:textId="3880A735" w:rsidR="0028741E" w:rsidRPr="001E31C6" w:rsidRDefault="0028741E" w:rsidP="0028741E">
            <w:pPr>
              <w:rPr>
                <w:sz w:val="20"/>
                <w:szCs w:val="20"/>
              </w:rPr>
            </w:pPr>
            <w:r w:rsidRPr="001E31C6">
              <w:rPr>
                <w:sz w:val="20"/>
                <w:szCs w:val="20"/>
              </w:rPr>
              <w:t>Energy and Commerce</w:t>
            </w:r>
          </w:p>
        </w:tc>
        <w:tc>
          <w:tcPr>
            <w:tcW w:w="3420" w:type="dxa"/>
          </w:tcPr>
          <w:p w14:paraId="0BCF44F5" w14:textId="23C540A7" w:rsidR="0028741E" w:rsidRPr="001E31C6" w:rsidRDefault="0028741E" w:rsidP="0028741E">
            <w:pPr>
              <w:rPr>
                <w:sz w:val="20"/>
                <w:szCs w:val="20"/>
              </w:rPr>
            </w:pPr>
            <w:r w:rsidRPr="001E31C6">
              <w:rPr>
                <w:sz w:val="20"/>
                <w:szCs w:val="20"/>
              </w:rPr>
              <w:t>Cathy McMorris Rodgers (WA)</w:t>
            </w:r>
          </w:p>
        </w:tc>
        <w:tc>
          <w:tcPr>
            <w:tcW w:w="2425" w:type="dxa"/>
          </w:tcPr>
          <w:p w14:paraId="2995217A" w14:textId="0B1CE59A" w:rsidR="0028741E" w:rsidRPr="001E31C6" w:rsidRDefault="0028741E" w:rsidP="0028741E">
            <w:pPr>
              <w:rPr>
                <w:sz w:val="20"/>
                <w:szCs w:val="20"/>
              </w:rPr>
            </w:pPr>
            <w:r w:rsidRPr="001E31C6">
              <w:rPr>
                <w:sz w:val="20"/>
                <w:szCs w:val="20"/>
              </w:rPr>
              <w:t>Frank Pallone (NJ)</w:t>
            </w:r>
            <w:r w:rsidRPr="001E31C6">
              <w:rPr>
                <w:sz w:val="20"/>
                <w:szCs w:val="20"/>
              </w:rPr>
              <w:tab/>
            </w:r>
          </w:p>
        </w:tc>
      </w:tr>
      <w:tr w:rsidR="0028741E" w14:paraId="215FF523" w14:textId="77777777" w:rsidTr="00CB05E9">
        <w:tc>
          <w:tcPr>
            <w:tcW w:w="3505" w:type="dxa"/>
          </w:tcPr>
          <w:p w14:paraId="732FD612" w14:textId="13AF524C" w:rsidR="0028741E" w:rsidRPr="001E31C6" w:rsidRDefault="0028741E" w:rsidP="0028741E">
            <w:pPr>
              <w:rPr>
                <w:sz w:val="20"/>
                <w:szCs w:val="20"/>
              </w:rPr>
            </w:pPr>
            <w:r w:rsidRPr="001E31C6">
              <w:rPr>
                <w:sz w:val="20"/>
                <w:szCs w:val="20"/>
              </w:rPr>
              <w:t>Judiciary</w:t>
            </w:r>
          </w:p>
        </w:tc>
        <w:tc>
          <w:tcPr>
            <w:tcW w:w="3420" w:type="dxa"/>
          </w:tcPr>
          <w:p w14:paraId="0D34741E" w14:textId="3AC5D09C" w:rsidR="0028741E" w:rsidRPr="001E31C6" w:rsidRDefault="0028741E" w:rsidP="0028741E">
            <w:pPr>
              <w:rPr>
                <w:sz w:val="20"/>
                <w:szCs w:val="20"/>
              </w:rPr>
            </w:pPr>
            <w:r w:rsidRPr="001E31C6">
              <w:rPr>
                <w:sz w:val="20"/>
                <w:szCs w:val="20"/>
              </w:rPr>
              <w:t>Jim Jordan (OH)</w:t>
            </w:r>
          </w:p>
        </w:tc>
        <w:tc>
          <w:tcPr>
            <w:tcW w:w="2425" w:type="dxa"/>
          </w:tcPr>
          <w:p w14:paraId="305754E0" w14:textId="334F9769" w:rsidR="0028741E" w:rsidRPr="001E31C6" w:rsidRDefault="0028741E" w:rsidP="0028741E">
            <w:pPr>
              <w:rPr>
                <w:sz w:val="20"/>
                <w:szCs w:val="20"/>
              </w:rPr>
            </w:pPr>
            <w:r w:rsidRPr="001E31C6">
              <w:rPr>
                <w:sz w:val="20"/>
                <w:szCs w:val="20"/>
              </w:rPr>
              <w:t>Jerry Nadler (NY)</w:t>
            </w:r>
          </w:p>
        </w:tc>
      </w:tr>
      <w:tr w:rsidR="0028741E" w14:paraId="2EE831D4" w14:textId="77777777" w:rsidTr="00CB05E9">
        <w:tc>
          <w:tcPr>
            <w:tcW w:w="3505" w:type="dxa"/>
          </w:tcPr>
          <w:p w14:paraId="794BF86F" w14:textId="47F86877" w:rsidR="0028741E" w:rsidRPr="001E31C6" w:rsidRDefault="0028741E" w:rsidP="0028741E">
            <w:pPr>
              <w:rPr>
                <w:sz w:val="20"/>
                <w:szCs w:val="20"/>
              </w:rPr>
            </w:pPr>
            <w:r w:rsidRPr="001E31C6">
              <w:rPr>
                <w:sz w:val="20"/>
                <w:szCs w:val="20"/>
              </w:rPr>
              <w:t>Veterans' Affairs</w:t>
            </w:r>
          </w:p>
        </w:tc>
        <w:tc>
          <w:tcPr>
            <w:tcW w:w="3420" w:type="dxa"/>
          </w:tcPr>
          <w:p w14:paraId="7286A76B" w14:textId="624B4D76" w:rsidR="0028741E" w:rsidRPr="001E31C6" w:rsidRDefault="0028741E" w:rsidP="0028741E">
            <w:pPr>
              <w:rPr>
                <w:sz w:val="20"/>
                <w:szCs w:val="20"/>
              </w:rPr>
            </w:pPr>
            <w:r w:rsidRPr="001E31C6">
              <w:rPr>
                <w:sz w:val="20"/>
                <w:szCs w:val="20"/>
              </w:rPr>
              <w:t>Mike Bost (IL)</w:t>
            </w:r>
          </w:p>
        </w:tc>
        <w:tc>
          <w:tcPr>
            <w:tcW w:w="2425" w:type="dxa"/>
          </w:tcPr>
          <w:p w14:paraId="32D19FB2" w14:textId="68A27A18" w:rsidR="0028741E" w:rsidRPr="001E31C6" w:rsidRDefault="0028741E" w:rsidP="0028741E">
            <w:pPr>
              <w:rPr>
                <w:sz w:val="20"/>
                <w:szCs w:val="20"/>
              </w:rPr>
            </w:pPr>
            <w:r w:rsidRPr="001E31C6">
              <w:rPr>
                <w:sz w:val="20"/>
                <w:szCs w:val="20"/>
              </w:rPr>
              <w:t>Mark Takano (CA)</w:t>
            </w:r>
          </w:p>
        </w:tc>
      </w:tr>
      <w:tr w:rsidR="0028741E" w14:paraId="3BA15F6A" w14:textId="77777777" w:rsidTr="00CB05E9">
        <w:tc>
          <w:tcPr>
            <w:tcW w:w="3505" w:type="dxa"/>
          </w:tcPr>
          <w:p w14:paraId="1CCC5468" w14:textId="3195B9E4" w:rsidR="0028741E" w:rsidRPr="001E31C6" w:rsidRDefault="0028741E" w:rsidP="0028741E">
            <w:pPr>
              <w:rPr>
                <w:sz w:val="20"/>
                <w:szCs w:val="20"/>
              </w:rPr>
            </w:pPr>
            <w:r w:rsidRPr="001E31C6">
              <w:rPr>
                <w:sz w:val="20"/>
                <w:szCs w:val="20"/>
              </w:rPr>
              <w:t>Ways and Means</w:t>
            </w:r>
          </w:p>
        </w:tc>
        <w:tc>
          <w:tcPr>
            <w:tcW w:w="3420" w:type="dxa"/>
          </w:tcPr>
          <w:p w14:paraId="65CECAB5" w14:textId="55101841" w:rsidR="0028741E" w:rsidRPr="001E31C6" w:rsidRDefault="0028741E" w:rsidP="0028741E">
            <w:pPr>
              <w:rPr>
                <w:sz w:val="20"/>
                <w:szCs w:val="20"/>
              </w:rPr>
            </w:pPr>
            <w:r w:rsidRPr="001E31C6">
              <w:rPr>
                <w:sz w:val="20"/>
                <w:szCs w:val="20"/>
              </w:rPr>
              <w:t>Jason Smith (MO)</w:t>
            </w:r>
          </w:p>
        </w:tc>
        <w:tc>
          <w:tcPr>
            <w:tcW w:w="2425" w:type="dxa"/>
          </w:tcPr>
          <w:p w14:paraId="4943730C" w14:textId="06FB41F7" w:rsidR="0028741E" w:rsidRPr="001E31C6" w:rsidRDefault="0028741E" w:rsidP="0028741E">
            <w:pPr>
              <w:rPr>
                <w:sz w:val="20"/>
                <w:szCs w:val="20"/>
              </w:rPr>
            </w:pPr>
            <w:r w:rsidRPr="001E31C6">
              <w:rPr>
                <w:sz w:val="20"/>
                <w:szCs w:val="20"/>
              </w:rPr>
              <w:t>Richard Neal (MA)</w:t>
            </w:r>
          </w:p>
        </w:tc>
      </w:tr>
    </w:tbl>
    <w:p w14:paraId="2414CEBF" w14:textId="23686ED8" w:rsidR="0028741E" w:rsidRDefault="0028741E" w:rsidP="0028741E">
      <w:pPr>
        <w:spacing w:after="0" w:line="240" w:lineRule="auto"/>
      </w:pPr>
    </w:p>
    <w:p w14:paraId="226C9F02" w14:textId="44565FE7" w:rsidR="005F732D" w:rsidRDefault="005F732D" w:rsidP="0028741E">
      <w:pPr>
        <w:spacing w:after="0" w:line="240" w:lineRule="auto"/>
      </w:pPr>
      <w:r>
        <w:t xml:space="preserve">In the U.S. Senate, Democrats are in the majority because Independents caucus with the Democrats, and Republicans are the minority party (D: 48; I: 3; R: 49).  </w:t>
      </w:r>
    </w:p>
    <w:p w14:paraId="02C34E9B" w14:textId="77777777" w:rsidR="0028741E" w:rsidRDefault="0028741E" w:rsidP="0028741E">
      <w:pPr>
        <w:spacing w:after="0" w:line="240" w:lineRule="auto"/>
      </w:pPr>
    </w:p>
    <w:tbl>
      <w:tblPr>
        <w:tblStyle w:val="TableGrid"/>
        <w:tblW w:w="0" w:type="auto"/>
        <w:tblLook w:val="04A0" w:firstRow="1" w:lastRow="0" w:firstColumn="1" w:lastColumn="0" w:noHBand="0" w:noVBand="1"/>
      </w:tblPr>
      <w:tblGrid>
        <w:gridCol w:w="3595"/>
        <w:gridCol w:w="2880"/>
        <w:gridCol w:w="2875"/>
      </w:tblGrid>
      <w:tr w:rsidR="00CB05E9" w:rsidRPr="001E31C6" w14:paraId="54A927C3" w14:textId="77777777" w:rsidTr="00B8448A">
        <w:tc>
          <w:tcPr>
            <w:tcW w:w="3595" w:type="dxa"/>
          </w:tcPr>
          <w:p w14:paraId="706F6367" w14:textId="3C8B21D3" w:rsidR="00CB05E9" w:rsidRPr="001E31C6" w:rsidRDefault="00CB05E9" w:rsidP="0028741E">
            <w:pPr>
              <w:rPr>
                <w:b/>
                <w:bCs w:val="0"/>
                <w:sz w:val="20"/>
                <w:szCs w:val="20"/>
              </w:rPr>
            </w:pPr>
            <w:r w:rsidRPr="001E31C6">
              <w:rPr>
                <w:b/>
                <w:bCs w:val="0"/>
                <w:sz w:val="20"/>
                <w:szCs w:val="20"/>
              </w:rPr>
              <w:t>U.S. Senate Committee</w:t>
            </w:r>
          </w:p>
        </w:tc>
        <w:tc>
          <w:tcPr>
            <w:tcW w:w="2880" w:type="dxa"/>
          </w:tcPr>
          <w:p w14:paraId="7C456724" w14:textId="4A1213CE" w:rsidR="00CB05E9" w:rsidRPr="001E31C6" w:rsidRDefault="00CB05E9" w:rsidP="0028741E">
            <w:pPr>
              <w:rPr>
                <w:b/>
                <w:bCs w:val="0"/>
                <w:sz w:val="20"/>
                <w:szCs w:val="20"/>
              </w:rPr>
            </w:pPr>
            <w:r w:rsidRPr="001E31C6">
              <w:rPr>
                <w:b/>
                <w:bCs w:val="0"/>
                <w:sz w:val="20"/>
                <w:szCs w:val="20"/>
              </w:rPr>
              <w:t>Chair</w:t>
            </w:r>
            <w:r w:rsidR="005F732D" w:rsidRPr="001E31C6">
              <w:rPr>
                <w:b/>
                <w:bCs w:val="0"/>
                <w:sz w:val="20"/>
                <w:szCs w:val="20"/>
              </w:rPr>
              <w:t xml:space="preserve"> (D)</w:t>
            </w:r>
          </w:p>
        </w:tc>
        <w:tc>
          <w:tcPr>
            <w:tcW w:w="2875" w:type="dxa"/>
          </w:tcPr>
          <w:p w14:paraId="0D92D2AE" w14:textId="4618E10D" w:rsidR="00CB05E9" w:rsidRPr="001E31C6" w:rsidRDefault="00B8448A" w:rsidP="0028741E">
            <w:pPr>
              <w:rPr>
                <w:b/>
                <w:bCs w:val="0"/>
                <w:sz w:val="20"/>
                <w:szCs w:val="20"/>
              </w:rPr>
            </w:pPr>
            <w:r w:rsidRPr="001E31C6">
              <w:rPr>
                <w:b/>
                <w:bCs w:val="0"/>
                <w:sz w:val="20"/>
                <w:szCs w:val="20"/>
              </w:rPr>
              <w:t xml:space="preserve">Ranking or </w:t>
            </w:r>
            <w:r w:rsidR="00B34062" w:rsidRPr="001E31C6">
              <w:rPr>
                <w:b/>
                <w:bCs w:val="0"/>
                <w:sz w:val="20"/>
                <w:szCs w:val="20"/>
              </w:rPr>
              <w:t>Vice Chair (R)</w:t>
            </w:r>
          </w:p>
        </w:tc>
      </w:tr>
      <w:tr w:rsidR="00CB05E9" w:rsidRPr="001E31C6" w14:paraId="2B97BBE9" w14:textId="77777777" w:rsidTr="00B8448A">
        <w:tc>
          <w:tcPr>
            <w:tcW w:w="3595" w:type="dxa"/>
          </w:tcPr>
          <w:p w14:paraId="786759C6" w14:textId="32405D7A" w:rsidR="00CB05E9" w:rsidRPr="001E31C6" w:rsidRDefault="005F732D" w:rsidP="0028741E">
            <w:pPr>
              <w:rPr>
                <w:sz w:val="20"/>
                <w:szCs w:val="20"/>
              </w:rPr>
            </w:pPr>
            <w:r w:rsidRPr="001E31C6">
              <w:rPr>
                <w:sz w:val="20"/>
                <w:szCs w:val="20"/>
              </w:rPr>
              <w:t>Appropriations</w:t>
            </w:r>
          </w:p>
        </w:tc>
        <w:tc>
          <w:tcPr>
            <w:tcW w:w="2880" w:type="dxa"/>
          </w:tcPr>
          <w:p w14:paraId="2FEBFD63" w14:textId="33171A7D" w:rsidR="00CB05E9" w:rsidRPr="001E31C6" w:rsidRDefault="005F732D" w:rsidP="0028741E">
            <w:pPr>
              <w:rPr>
                <w:sz w:val="20"/>
                <w:szCs w:val="20"/>
              </w:rPr>
            </w:pPr>
            <w:r w:rsidRPr="001E31C6">
              <w:rPr>
                <w:sz w:val="20"/>
                <w:szCs w:val="20"/>
              </w:rPr>
              <w:t>Patty Murray (WA)</w:t>
            </w:r>
          </w:p>
        </w:tc>
        <w:tc>
          <w:tcPr>
            <w:tcW w:w="2875" w:type="dxa"/>
          </w:tcPr>
          <w:p w14:paraId="0B648D91" w14:textId="00817097" w:rsidR="00CB05E9" w:rsidRPr="001E31C6" w:rsidRDefault="00B34062" w:rsidP="0028741E">
            <w:pPr>
              <w:rPr>
                <w:sz w:val="20"/>
                <w:szCs w:val="20"/>
              </w:rPr>
            </w:pPr>
            <w:r w:rsidRPr="001E31C6">
              <w:rPr>
                <w:sz w:val="20"/>
                <w:szCs w:val="20"/>
              </w:rPr>
              <w:t>Susan Collins (ME)</w:t>
            </w:r>
          </w:p>
        </w:tc>
      </w:tr>
      <w:tr w:rsidR="00CB05E9" w:rsidRPr="001E31C6" w14:paraId="07D33F7F" w14:textId="77777777" w:rsidTr="00B8448A">
        <w:tc>
          <w:tcPr>
            <w:tcW w:w="3595" w:type="dxa"/>
          </w:tcPr>
          <w:p w14:paraId="77109103" w14:textId="1E6E510D" w:rsidR="00CB05E9" w:rsidRPr="001E31C6" w:rsidRDefault="00B34062" w:rsidP="0028741E">
            <w:pPr>
              <w:rPr>
                <w:sz w:val="20"/>
                <w:szCs w:val="20"/>
              </w:rPr>
            </w:pPr>
            <w:r w:rsidRPr="001E31C6">
              <w:rPr>
                <w:sz w:val="20"/>
                <w:szCs w:val="20"/>
              </w:rPr>
              <w:t>Banking, Housing and Urban Affairs</w:t>
            </w:r>
          </w:p>
        </w:tc>
        <w:tc>
          <w:tcPr>
            <w:tcW w:w="2880" w:type="dxa"/>
          </w:tcPr>
          <w:p w14:paraId="51982935" w14:textId="34FD8B34" w:rsidR="00CB05E9" w:rsidRPr="001E31C6" w:rsidRDefault="00B34062" w:rsidP="0028741E">
            <w:pPr>
              <w:rPr>
                <w:sz w:val="20"/>
                <w:szCs w:val="20"/>
              </w:rPr>
            </w:pPr>
            <w:r w:rsidRPr="001E31C6">
              <w:rPr>
                <w:sz w:val="20"/>
                <w:szCs w:val="20"/>
              </w:rPr>
              <w:t>Sherrod Brown (OH)</w:t>
            </w:r>
          </w:p>
        </w:tc>
        <w:tc>
          <w:tcPr>
            <w:tcW w:w="2875" w:type="dxa"/>
          </w:tcPr>
          <w:p w14:paraId="5571BFAD" w14:textId="49A6CFBA" w:rsidR="00CB05E9" w:rsidRPr="001E31C6" w:rsidRDefault="00B8448A" w:rsidP="0028741E">
            <w:pPr>
              <w:rPr>
                <w:sz w:val="20"/>
                <w:szCs w:val="20"/>
              </w:rPr>
            </w:pPr>
            <w:r w:rsidRPr="001E31C6">
              <w:rPr>
                <w:sz w:val="20"/>
                <w:szCs w:val="20"/>
              </w:rPr>
              <w:t>Tim Scott (SC)</w:t>
            </w:r>
          </w:p>
        </w:tc>
      </w:tr>
      <w:tr w:rsidR="00CB05E9" w:rsidRPr="001E31C6" w14:paraId="1053F7C4" w14:textId="77777777" w:rsidTr="00B8448A">
        <w:tc>
          <w:tcPr>
            <w:tcW w:w="3595" w:type="dxa"/>
          </w:tcPr>
          <w:p w14:paraId="4E3790FA" w14:textId="37E29F38" w:rsidR="00CB05E9" w:rsidRPr="001E31C6" w:rsidRDefault="00B8448A" w:rsidP="0028741E">
            <w:pPr>
              <w:rPr>
                <w:sz w:val="20"/>
                <w:szCs w:val="20"/>
              </w:rPr>
            </w:pPr>
            <w:r w:rsidRPr="001E31C6">
              <w:rPr>
                <w:sz w:val="20"/>
                <w:szCs w:val="20"/>
              </w:rPr>
              <w:t>Budget</w:t>
            </w:r>
          </w:p>
        </w:tc>
        <w:tc>
          <w:tcPr>
            <w:tcW w:w="2880" w:type="dxa"/>
          </w:tcPr>
          <w:p w14:paraId="44C1963F" w14:textId="7DCEFB59" w:rsidR="00CB05E9" w:rsidRPr="001E31C6" w:rsidRDefault="00B8448A" w:rsidP="0028741E">
            <w:pPr>
              <w:rPr>
                <w:sz w:val="20"/>
                <w:szCs w:val="20"/>
              </w:rPr>
            </w:pPr>
            <w:r w:rsidRPr="001E31C6">
              <w:rPr>
                <w:sz w:val="20"/>
                <w:szCs w:val="20"/>
              </w:rPr>
              <w:t>Sheldon Whitehouse (RI)</w:t>
            </w:r>
          </w:p>
        </w:tc>
        <w:tc>
          <w:tcPr>
            <w:tcW w:w="2875" w:type="dxa"/>
          </w:tcPr>
          <w:p w14:paraId="51ADB70B" w14:textId="392EA02C" w:rsidR="00CB05E9" w:rsidRPr="001E31C6" w:rsidRDefault="00B8448A" w:rsidP="0028741E">
            <w:pPr>
              <w:rPr>
                <w:sz w:val="20"/>
                <w:szCs w:val="20"/>
              </w:rPr>
            </w:pPr>
            <w:r w:rsidRPr="001E31C6">
              <w:rPr>
                <w:sz w:val="20"/>
                <w:szCs w:val="20"/>
              </w:rPr>
              <w:t>Lindsey Graham (SC)</w:t>
            </w:r>
          </w:p>
        </w:tc>
      </w:tr>
      <w:tr w:rsidR="00CB05E9" w:rsidRPr="001E31C6" w14:paraId="04CDC1AC" w14:textId="77777777" w:rsidTr="00B8448A">
        <w:tc>
          <w:tcPr>
            <w:tcW w:w="3595" w:type="dxa"/>
          </w:tcPr>
          <w:p w14:paraId="0054DAB8" w14:textId="59777CE1" w:rsidR="00CB05E9" w:rsidRPr="001E31C6" w:rsidRDefault="00B8448A" w:rsidP="0028741E">
            <w:pPr>
              <w:rPr>
                <w:sz w:val="20"/>
                <w:szCs w:val="20"/>
              </w:rPr>
            </w:pPr>
            <w:r w:rsidRPr="001E31C6">
              <w:rPr>
                <w:sz w:val="20"/>
                <w:szCs w:val="20"/>
              </w:rPr>
              <w:t>Finance</w:t>
            </w:r>
          </w:p>
        </w:tc>
        <w:tc>
          <w:tcPr>
            <w:tcW w:w="2880" w:type="dxa"/>
          </w:tcPr>
          <w:p w14:paraId="52578761" w14:textId="6924F0B9" w:rsidR="00CB05E9" w:rsidRPr="001E31C6" w:rsidRDefault="00B8448A" w:rsidP="0028741E">
            <w:pPr>
              <w:rPr>
                <w:sz w:val="20"/>
                <w:szCs w:val="20"/>
              </w:rPr>
            </w:pPr>
            <w:r w:rsidRPr="001E31C6">
              <w:rPr>
                <w:sz w:val="20"/>
                <w:szCs w:val="20"/>
              </w:rPr>
              <w:t>Ron Wyden (OR)</w:t>
            </w:r>
          </w:p>
        </w:tc>
        <w:tc>
          <w:tcPr>
            <w:tcW w:w="2875" w:type="dxa"/>
          </w:tcPr>
          <w:p w14:paraId="02F17979" w14:textId="034E5964" w:rsidR="00CB05E9" w:rsidRPr="001E31C6" w:rsidRDefault="00B8448A" w:rsidP="0028741E">
            <w:pPr>
              <w:rPr>
                <w:sz w:val="20"/>
                <w:szCs w:val="20"/>
              </w:rPr>
            </w:pPr>
            <w:r w:rsidRPr="001E31C6">
              <w:rPr>
                <w:sz w:val="20"/>
                <w:szCs w:val="20"/>
              </w:rPr>
              <w:t>Mike Crapo (ID)</w:t>
            </w:r>
          </w:p>
        </w:tc>
      </w:tr>
      <w:tr w:rsidR="00CB05E9" w:rsidRPr="001E31C6" w14:paraId="6F4DE964" w14:textId="77777777" w:rsidTr="00B8448A">
        <w:tc>
          <w:tcPr>
            <w:tcW w:w="3595" w:type="dxa"/>
          </w:tcPr>
          <w:p w14:paraId="648B8521" w14:textId="3E3E9691" w:rsidR="00CB05E9" w:rsidRPr="001E31C6" w:rsidRDefault="00B8448A" w:rsidP="0028741E">
            <w:pPr>
              <w:rPr>
                <w:sz w:val="20"/>
                <w:szCs w:val="20"/>
              </w:rPr>
            </w:pPr>
            <w:r w:rsidRPr="001E31C6">
              <w:rPr>
                <w:sz w:val="20"/>
                <w:szCs w:val="20"/>
              </w:rPr>
              <w:lastRenderedPageBreak/>
              <w:t>Health, Education, Labor, and Pensions</w:t>
            </w:r>
          </w:p>
        </w:tc>
        <w:tc>
          <w:tcPr>
            <w:tcW w:w="2880" w:type="dxa"/>
          </w:tcPr>
          <w:p w14:paraId="577F22D0" w14:textId="2557F7F2" w:rsidR="00CB05E9" w:rsidRPr="001E31C6" w:rsidRDefault="00B8448A" w:rsidP="0028741E">
            <w:pPr>
              <w:rPr>
                <w:sz w:val="20"/>
                <w:szCs w:val="20"/>
              </w:rPr>
            </w:pPr>
            <w:r w:rsidRPr="001E31C6">
              <w:rPr>
                <w:sz w:val="20"/>
                <w:szCs w:val="20"/>
              </w:rPr>
              <w:t>Bernie Sanders (I-VT)</w:t>
            </w:r>
          </w:p>
        </w:tc>
        <w:tc>
          <w:tcPr>
            <w:tcW w:w="2875" w:type="dxa"/>
          </w:tcPr>
          <w:p w14:paraId="43675C54" w14:textId="62AEAAF1" w:rsidR="00CB05E9" w:rsidRPr="001E31C6" w:rsidRDefault="00B8448A" w:rsidP="0028741E">
            <w:pPr>
              <w:rPr>
                <w:sz w:val="20"/>
                <w:szCs w:val="20"/>
              </w:rPr>
            </w:pPr>
            <w:r w:rsidRPr="001E31C6">
              <w:rPr>
                <w:sz w:val="20"/>
                <w:szCs w:val="20"/>
              </w:rPr>
              <w:t>Bill Cassidy (LA)</w:t>
            </w:r>
          </w:p>
        </w:tc>
      </w:tr>
      <w:tr w:rsidR="00B8448A" w:rsidRPr="001E31C6" w14:paraId="20D4B89C" w14:textId="77777777" w:rsidTr="00B8448A">
        <w:tc>
          <w:tcPr>
            <w:tcW w:w="3595" w:type="dxa"/>
          </w:tcPr>
          <w:p w14:paraId="55D2C877" w14:textId="1931789F" w:rsidR="00B8448A" w:rsidRPr="001E31C6" w:rsidRDefault="00B8448A" w:rsidP="0028741E">
            <w:pPr>
              <w:rPr>
                <w:sz w:val="20"/>
                <w:szCs w:val="20"/>
              </w:rPr>
            </w:pPr>
            <w:r w:rsidRPr="001E31C6">
              <w:rPr>
                <w:sz w:val="20"/>
                <w:szCs w:val="20"/>
              </w:rPr>
              <w:t>Judiciary</w:t>
            </w:r>
          </w:p>
        </w:tc>
        <w:tc>
          <w:tcPr>
            <w:tcW w:w="2880" w:type="dxa"/>
          </w:tcPr>
          <w:p w14:paraId="1261671B" w14:textId="08B5DAA7" w:rsidR="00B8448A" w:rsidRPr="001E31C6" w:rsidRDefault="00B8448A" w:rsidP="0028741E">
            <w:pPr>
              <w:rPr>
                <w:sz w:val="20"/>
                <w:szCs w:val="20"/>
              </w:rPr>
            </w:pPr>
            <w:r w:rsidRPr="001E31C6">
              <w:rPr>
                <w:sz w:val="20"/>
                <w:szCs w:val="20"/>
              </w:rPr>
              <w:t>Dick Durbin (IL)</w:t>
            </w:r>
          </w:p>
        </w:tc>
        <w:tc>
          <w:tcPr>
            <w:tcW w:w="2875" w:type="dxa"/>
          </w:tcPr>
          <w:p w14:paraId="3DBD4389" w14:textId="52D4B9D1" w:rsidR="00B8448A" w:rsidRPr="001E31C6" w:rsidRDefault="00B8448A" w:rsidP="0028741E">
            <w:pPr>
              <w:rPr>
                <w:sz w:val="20"/>
                <w:szCs w:val="20"/>
              </w:rPr>
            </w:pPr>
            <w:r w:rsidRPr="001E31C6">
              <w:rPr>
                <w:sz w:val="20"/>
                <w:szCs w:val="20"/>
              </w:rPr>
              <w:t>Chuck Grassley (IA)</w:t>
            </w:r>
          </w:p>
        </w:tc>
      </w:tr>
      <w:tr w:rsidR="00CB05E9" w:rsidRPr="001E31C6" w14:paraId="14C03433" w14:textId="77777777" w:rsidTr="00B8448A">
        <w:tc>
          <w:tcPr>
            <w:tcW w:w="3595" w:type="dxa"/>
          </w:tcPr>
          <w:p w14:paraId="1AFF8A3B" w14:textId="4A6EF24E" w:rsidR="00CB05E9" w:rsidRPr="001E31C6" w:rsidRDefault="00B8448A" w:rsidP="0028741E">
            <w:pPr>
              <w:rPr>
                <w:sz w:val="20"/>
                <w:szCs w:val="20"/>
              </w:rPr>
            </w:pPr>
            <w:r w:rsidRPr="001E31C6">
              <w:rPr>
                <w:sz w:val="20"/>
                <w:szCs w:val="20"/>
              </w:rPr>
              <w:t>Veterans' Affairs</w:t>
            </w:r>
            <w:r w:rsidRPr="001E31C6">
              <w:rPr>
                <w:sz w:val="20"/>
                <w:szCs w:val="20"/>
              </w:rPr>
              <w:tab/>
            </w:r>
          </w:p>
        </w:tc>
        <w:tc>
          <w:tcPr>
            <w:tcW w:w="2880" w:type="dxa"/>
          </w:tcPr>
          <w:p w14:paraId="5866B84C" w14:textId="6BAFFE9D" w:rsidR="00CB05E9" w:rsidRPr="001E31C6" w:rsidRDefault="00B8448A" w:rsidP="0028741E">
            <w:pPr>
              <w:rPr>
                <w:sz w:val="20"/>
                <w:szCs w:val="20"/>
              </w:rPr>
            </w:pPr>
            <w:r w:rsidRPr="001E31C6">
              <w:rPr>
                <w:sz w:val="20"/>
                <w:szCs w:val="20"/>
              </w:rPr>
              <w:t>Jon Tester (MT)</w:t>
            </w:r>
          </w:p>
        </w:tc>
        <w:tc>
          <w:tcPr>
            <w:tcW w:w="2875" w:type="dxa"/>
          </w:tcPr>
          <w:p w14:paraId="77B924A8" w14:textId="25269165" w:rsidR="00CB05E9" w:rsidRPr="001E31C6" w:rsidRDefault="00B8448A" w:rsidP="0028741E">
            <w:pPr>
              <w:rPr>
                <w:sz w:val="20"/>
                <w:szCs w:val="20"/>
              </w:rPr>
            </w:pPr>
            <w:r w:rsidRPr="001E31C6">
              <w:rPr>
                <w:sz w:val="20"/>
                <w:szCs w:val="20"/>
              </w:rPr>
              <w:t>Jerry Moran (KS)</w:t>
            </w:r>
          </w:p>
        </w:tc>
      </w:tr>
      <w:tr w:rsidR="00B8448A" w:rsidRPr="001E31C6" w14:paraId="7A5B7633" w14:textId="77777777" w:rsidTr="00B8448A">
        <w:tc>
          <w:tcPr>
            <w:tcW w:w="3595" w:type="dxa"/>
          </w:tcPr>
          <w:p w14:paraId="05C5CA10" w14:textId="0AB3E7CB" w:rsidR="00B8448A" w:rsidRPr="001E31C6" w:rsidRDefault="00B8448A" w:rsidP="0028741E">
            <w:pPr>
              <w:rPr>
                <w:sz w:val="20"/>
                <w:szCs w:val="20"/>
              </w:rPr>
            </w:pPr>
            <w:r w:rsidRPr="001E31C6">
              <w:rPr>
                <w:sz w:val="20"/>
                <w:szCs w:val="20"/>
              </w:rPr>
              <w:t>Aging (Special)</w:t>
            </w:r>
          </w:p>
        </w:tc>
        <w:tc>
          <w:tcPr>
            <w:tcW w:w="2880" w:type="dxa"/>
          </w:tcPr>
          <w:p w14:paraId="0FE56D6E" w14:textId="61196EE8" w:rsidR="00B8448A" w:rsidRPr="001E31C6" w:rsidRDefault="00B8448A" w:rsidP="0028741E">
            <w:pPr>
              <w:rPr>
                <w:sz w:val="20"/>
                <w:szCs w:val="20"/>
              </w:rPr>
            </w:pPr>
            <w:r w:rsidRPr="001E31C6">
              <w:rPr>
                <w:sz w:val="20"/>
                <w:szCs w:val="20"/>
              </w:rPr>
              <w:t>Bob Casey (PA)</w:t>
            </w:r>
          </w:p>
        </w:tc>
        <w:tc>
          <w:tcPr>
            <w:tcW w:w="2875" w:type="dxa"/>
          </w:tcPr>
          <w:p w14:paraId="6FA3CF7A" w14:textId="12BE3F12" w:rsidR="00B8448A" w:rsidRPr="001E31C6" w:rsidRDefault="00B8448A" w:rsidP="0028741E">
            <w:pPr>
              <w:rPr>
                <w:sz w:val="20"/>
                <w:szCs w:val="20"/>
              </w:rPr>
            </w:pPr>
            <w:r w:rsidRPr="001E31C6">
              <w:rPr>
                <w:sz w:val="20"/>
                <w:szCs w:val="20"/>
              </w:rPr>
              <w:t>Mike Braun (IN)</w:t>
            </w:r>
          </w:p>
        </w:tc>
      </w:tr>
    </w:tbl>
    <w:p w14:paraId="057B4D01" w14:textId="2C8018FD" w:rsidR="0028741E" w:rsidRDefault="0028741E" w:rsidP="0028741E">
      <w:pPr>
        <w:spacing w:after="0" w:line="240" w:lineRule="auto"/>
      </w:pPr>
      <w:r w:rsidRPr="0028741E">
        <w:tab/>
      </w:r>
      <w:r w:rsidRPr="0028741E">
        <w:tab/>
      </w:r>
    </w:p>
    <w:p w14:paraId="5C8BB728" w14:textId="716D2FD7" w:rsidR="0028741E" w:rsidRDefault="0028741E" w:rsidP="0028741E">
      <w:pPr>
        <w:spacing w:after="0" w:line="240" w:lineRule="auto"/>
      </w:pPr>
    </w:p>
    <w:p w14:paraId="74C6E247" w14:textId="4972ABCB" w:rsidR="004244A6" w:rsidRPr="00BD2B94" w:rsidRDefault="004244A6" w:rsidP="00CB7C85">
      <w:pPr>
        <w:spacing w:after="120"/>
        <w:rPr>
          <w:b/>
          <w:bCs w:val="0"/>
        </w:rPr>
      </w:pPr>
      <w:r w:rsidRPr="00BD2B94">
        <w:rPr>
          <w:b/>
          <w:bCs w:val="0"/>
        </w:rPr>
        <w:t xml:space="preserve">All About </w:t>
      </w:r>
      <w:r w:rsidR="002B6A65">
        <w:rPr>
          <w:b/>
          <w:bCs w:val="0"/>
        </w:rPr>
        <w:t xml:space="preserve">the </w:t>
      </w:r>
      <w:r w:rsidR="00F5697F">
        <w:rPr>
          <w:b/>
        </w:rPr>
        <w:t>Consolidated Omnibus Appropriations Act</w:t>
      </w:r>
    </w:p>
    <w:p w14:paraId="38BB44FC" w14:textId="77777777" w:rsidR="00CB7C85" w:rsidRDefault="000A24B8" w:rsidP="00CB7C85">
      <w:pPr>
        <w:spacing w:after="0" w:line="240" w:lineRule="auto"/>
        <w:rPr>
          <w:bCs w:val="0"/>
        </w:rPr>
      </w:pPr>
      <w:r>
        <w:rPr>
          <w:bCs w:val="0"/>
        </w:rPr>
        <w:t xml:space="preserve">The </w:t>
      </w:r>
      <w:r w:rsidR="00CB7C85">
        <w:rPr>
          <w:b/>
        </w:rPr>
        <w:t xml:space="preserve">Consolidated Omnibus Appropriations Act of 2023 (CAA 23) </w:t>
      </w:r>
      <w:hyperlink r:id="rId8" w:history="1">
        <w:r w:rsidR="00CB7C85" w:rsidRPr="007C0C41">
          <w:rPr>
            <w:rStyle w:val="Hyperlink"/>
            <w:bCs w:val="0"/>
          </w:rPr>
          <w:t>Public Law 117-328</w:t>
        </w:r>
      </w:hyperlink>
    </w:p>
    <w:p w14:paraId="5CDAEEDF" w14:textId="4348F651" w:rsidR="000A24B8" w:rsidRDefault="000A24B8" w:rsidP="00CB7C85">
      <w:pPr>
        <w:spacing w:after="120" w:line="240" w:lineRule="auto"/>
        <w:rPr>
          <w:bCs w:val="0"/>
        </w:rPr>
      </w:pPr>
      <w:r>
        <w:rPr>
          <w:bCs w:val="0"/>
        </w:rPr>
        <w:t>was signed into law by President Biden on December</w:t>
      </w:r>
      <w:r w:rsidR="00DB5607">
        <w:rPr>
          <w:bCs w:val="0"/>
        </w:rPr>
        <w:t xml:space="preserve"> 29, 2022. </w:t>
      </w:r>
      <w:r>
        <w:rPr>
          <w:bCs w:val="0"/>
        </w:rPr>
        <w:t xml:space="preserve"> </w:t>
      </w:r>
      <w:r w:rsidR="007C0C41">
        <w:rPr>
          <w:bCs w:val="0"/>
        </w:rPr>
        <w:t xml:space="preserve">This omnibus legislation appropriates </w:t>
      </w:r>
      <w:hyperlink r:id="rId9" w:history="1">
        <w:r w:rsidR="007C0C41" w:rsidRPr="00DB5607">
          <w:rPr>
            <w:rStyle w:val="Hyperlink"/>
            <w:bCs w:val="0"/>
          </w:rPr>
          <w:t>funds for federal agencies</w:t>
        </w:r>
      </w:hyperlink>
      <w:r w:rsidR="007C0C41">
        <w:rPr>
          <w:bCs w:val="0"/>
        </w:rPr>
        <w:t xml:space="preserve"> </w:t>
      </w:r>
      <w:r w:rsidR="004244A6">
        <w:rPr>
          <w:bCs w:val="0"/>
        </w:rPr>
        <w:t xml:space="preserve">for FY2023, </w:t>
      </w:r>
      <w:r w:rsidR="00BD2B94">
        <w:rPr>
          <w:bCs w:val="0"/>
        </w:rPr>
        <w:t>and includes</w:t>
      </w:r>
      <w:r w:rsidR="004244A6">
        <w:rPr>
          <w:bCs w:val="0"/>
        </w:rPr>
        <w:t xml:space="preserve"> </w:t>
      </w:r>
      <w:r w:rsidR="007C0C41">
        <w:rPr>
          <w:bCs w:val="0"/>
        </w:rPr>
        <w:t xml:space="preserve">provisions </w:t>
      </w:r>
      <w:r w:rsidR="004244A6">
        <w:rPr>
          <w:bCs w:val="0"/>
        </w:rPr>
        <w:t xml:space="preserve">on many other issues, such as </w:t>
      </w:r>
      <w:r w:rsidR="007D62ED">
        <w:rPr>
          <w:bCs w:val="0"/>
        </w:rPr>
        <w:t xml:space="preserve">emergency assistance for Ukraine, </w:t>
      </w:r>
      <w:r w:rsidR="004244A6">
        <w:rPr>
          <w:bCs w:val="0"/>
        </w:rPr>
        <w:t xml:space="preserve">retirement policy, </w:t>
      </w:r>
      <w:r>
        <w:rPr>
          <w:bCs w:val="0"/>
        </w:rPr>
        <w:t xml:space="preserve">health care, </w:t>
      </w:r>
      <w:r w:rsidR="007D62ED">
        <w:rPr>
          <w:bCs w:val="0"/>
        </w:rPr>
        <w:t xml:space="preserve">and other proposals.  </w:t>
      </w:r>
      <w:r>
        <w:rPr>
          <w:bCs w:val="0"/>
        </w:rPr>
        <w:t xml:space="preserve">Here are good overviews on </w:t>
      </w:r>
      <w:hyperlink r:id="rId10" w:history="1">
        <w:r w:rsidRPr="000A24B8">
          <w:rPr>
            <w:rStyle w:val="Hyperlink"/>
            <w:bCs w:val="0"/>
          </w:rPr>
          <w:t>health care related</w:t>
        </w:r>
      </w:hyperlink>
      <w:r>
        <w:rPr>
          <w:bCs w:val="0"/>
        </w:rPr>
        <w:t xml:space="preserve"> provisions and on </w:t>
      </w:r>
      <w:hyperlink r:id="rId11" w:history="1">
        <w:r w:rsidRPr="00C922BE">
          <w:rPr>
            <w:rStyle w:val="Hyperlink"/>
            <w:bCs w:val="0"/>
          </w:rPr>
          <w:t>Secure 2.0</w:t>
        </w:r>
      </w:hyperlink>
      <w:r>
        <w:rPr>
          <w:bCs w:val="0"/>
        </w:rPr>
        <w:t xml:space="preserve"> retirement policies</w:t>
      </w:r>
      <w:r w:rsidR="00C922BE">
        <w:rPr>
          <w:bCs w:val="0"/>
        </w:rPr>
        <w:t>.</w:t>
      </w:r>
      <w:r>
        <w:rPr>
          <w:bCs w:val="0"/>
        </w:rPr>
        <w:t xml:space="preserve"> </w:t>
      </w:r>
    </w:p>
    <w:p w14:paraId="7A0712D6" w14:textId="6524987B" w:rsidR="00C922BE" w:rsidRDefault="001E31C6" w:rsidP="00CB7C85">
      <w:pPr>
        <w:spacing w:after="120" w:line="240" w:lineRule="auto"/>
        <w:rPr>
          <w:bCs w:val="0"/>
        </w:rPr>
      </w:pPr>
      <w:r>
        <w:rPr>
          <w:bCs w:val="0"/>
        </w:rPr>
        <w:t xml:space="preserve">Congratulations are in order: </w:t>
      </w:r>
      <w:r w:rsidR="00CB7C85">
        <w:rPr>
          <w:bCs w:val="0"/>
        </w:rPr>
        <w:t>two SNA promoted bills were passed as part of the CAA 23:</w:t>
      </w:r>
      <w:r w:rsidR="00C922BE">
        <w:rPr>
          <w:bCs w:val="0"/>
        </w:rPr>
        <w:t xml:space="preserve"> the </w:t>
      </w:r>
      <w:r w:rsidR="00C922BE" w:rsidRPr="003F7F06">
        <w:rPr>
          <w:b/>
        </w:rPr>
        <w:t>Special Needs Trust Improvement Act</w:t>
      </w:r>
      <w:r w:rsidR="00BD2B94">
        <w:rPr>
          <w:b/>
        </w:rPr>
        <w:t xml:space="preserve"> of 2022 </w:t>
      </w:r>
      <w:r w:rsidR="00BD2B94">
        <w:rPr>
          <w:bCs w:val="0"/>
        </w:rPr>
        <w:t xml:space="preserve">and the </w:t>
      </w:r>
      <w:r w:rsidR="00BD2B94" w:rsidRPr="003F7F06">
        <w:rPr>
          <w:b/>
        </w:rPr>
        <w:t>ABLE Age Adjustment Act</w:t>
      </w:r>
      <w:r w:rsidR="00CB7C85">
        <w:rPr>
          <w:bCs w:val="0"/>
        </w:rPr>
        <w:t>.</w:t>
      </w:r>
    </w:p>
    <w:p w14:paraId="30BDA059" w14:textId="0C4F4B84" w:rsidR="00FB1809" w:rsidRDefault="00FB1809" w:rsidP="00FB1809">
      <w:r>
        <w:t>The Special Needs Trust Improvement Act (</w:t>
      </w:r>
      <w:hyperlink r:id="rId12" w:history="1">
        <w:r>
          <w:rPr>
            <w:rStyle w:val="Hyperlink"/>
          </w:rPr>
          <w:t>S.4426/HR 8625</w:t>
        </w:r>
      </w:hyperlink>
      <w:r>
        <w:t xml:space="preserve">) is the SNA developed legislation that allows </w:t>
      </w:r>
      <w:r w:rsidR="00AC06D2">
        <w:t>most charitable organizations</w:t>
      </w:r>
      <w:r>
        <w:t xml:space="preserve"> to be named as a remainder beneficiary of a trust that is established for a person who has a disability or is chronically ill.  This legislation was included in both the EARN Act and as part of the Secure 2.0 Act of 2022 and passed in the Consolidated Omnibus Appropriations Act of 2023</w:t>
      </w:r>
      <w:r>
        <w:rPr>
          <w:b/>
          <w:bCs w:val="0"/>
        </w:rPr>
        <w:t xml:space="preserve"> </w:t>
      </w:r>
      <w:hyperlink r:id="rId13" w:history="1">
        <w:r>
          <w:rPr>
            <w:rStyle w:val="Hyperlink"/>
          </w:rPr>
          <w:t>Public Law 117-328</w:t>
        </w:r>
      </w:hyperlink>
      <w:r>
        <w:t xml:space="preserve"> (Section 337 on page 915) .  It was signed into law by President Biden on December 29, 2022.  </w:t>
      </w:r>
    </w:p>
    <w:p w14:paraId="5DA393CD" w14:textId="77777777" w:rsidR="00AC06D2" w:rsidRDefault="00BD2B94" w:rsidP="00FB1809">
      <w:pPr>
        <w:rPr>
          <w:bCs w:val="0"/>
        </w:rPr>
      </w:pPr>
      <w:r>
        <w:rPr>
          <w:bCs w:val="0"/>
        </w:rPr>
        <w:t>The ABLE Age Adjustment Act</w:t>
      </w:r>
      <w:r w:rsidRPr="000B65B1">
        <w:rPr>
          <w:bCs w:val="0"/>
        </w:rPr>
        <w:t xml:space="preserve"> </w:t>
      </w:r>
      <w:r>
        <w:rPr>
          <w:bCs w:val="0"/>
        </w:rPr>
        <w:t>(</w:t>
      </w:r>
      <w:hyperlink r:id="rId14" w:history="1">
        <w:r w:rsidRPr="000B65B1">
          <w:rPr>
            <w:rStyle w:val="Hyperlink"/>
            <w:bCs w:val="0"/>
          </w:rPr>
          <w:t>HR 1219/S. 331</w:t>
        </w:r>
      </w:hyperlink>
      <w:r>
        <w:rPr>
          <w:bCs w:val="0"/>
        </w:rPr>
        <w:t>) extends the age limit of disability to 46 in order to be eligible for an ABLE account (up from 26 years of age).</w:t>
      </w:r>
      <w:r w:rsidR="00FB1809">
        <w:rPr>
          <w:bCs w:val="0"/>
        </w:rPr>
        <w:t xml:space="preserve">  The provision does not take effect until 2026. </w:t>
      </w:r>
    </w:p>
    <w:p w14:paraId="2583F32E" w14:textId="45E4ABA9" w:rsidR="00750DD4" w:rsidRDefault="00AC06D2" w:rsidP="00FB1809">
      <w:pPr>
        <w:rPr>
          <w:bCs w:val="0"/>
        </w:rPr>
      </w:pPr>
      <w:r>
        <w:rPr>
          <w:bCs w:val="0"/>
        </w:rPr>
        <w:t>There are two other provisions in the SECURE 2.0 portion of the CAA</w:t>
      </w:r>
      <w:r w:rsidR="00F66E95">
        <w:rPr>
          <w:bCs w:val="0"/>
        </w:rPr>
        <w:t xml:space="preserve"> 23</w:t>
      </w:r>
      <w:r w:rsidR="002329C0">
        <w:rPr>
          <w:bCs w:val="0"/>
        </w:rPr>
        <w:t xml:space="preserve"> that may be beneficial to some families and practitioners</w:t>
      </w:r>
      <w:r>
        <w:rPr>
          <w:bCs w:val="0"/>
        </w:rPr>
        <w:t xml:space="preserve">. </w:t>
      </w:r>
    </w:p>
    <w:p w14:paraId="40A1849D" w14:textId="31689C23" w:rsidR="00750DD4" w:rsidRDefault="00AC06D2" w:rsidP="00FB1809">
      <w:pPr>
        <w:rPr>
          <w:bCs w:val="0"/>
        </w:rPr>
      </w:pPr>
      <w:r>
        <w:rPr>
          <w:bCs w:val="0"/>
        </w:rPr>
        <w:t xml:space="preserve">The first was in Section 126 </w:t>
      </w:r>
      <w:r w:rsidR="00E70A6C">
        <w:rPr>
          <w:bCs w:val="0"/>
        </w:rPr>
        <w:t xml:space="preserve">where the Code now permits rollovers from Section 529 College Savings Plans to a Roth IRA in certain circumstances. </w:t>
      </w:r>
      <w:r w:rsidR="002B6A65">
        <w:rPr>
          <w:bCs w:val="0"/>
        </w:rPr>
        <w:t xml:space="preserve"> </w:t>
      </w:r>
      <w:r w:rsidR="00E70A6C">
        <w:rPr>
          <w:bCs w:val="0"/>
        </w:rPr>
        <w:t xml:space="preserve">We expect the rulemaking process will provide some insight into </w:t>
      </w:r>
      <w:r w:rsidR="00750DD4">
        <w:rPr>
          <w:bCs w:val="0"/>
        </w:rPr>
        <w:t xml:space="preserve">overall utility here. </w:t>
      </w:r>
    </w:p>
    <w:p w14:paraId="1A570E06" w14:textId="32F60F3F" w:rsidR="00750DD4" w:rsidRDefault="00750DD4" w:rsidP="00FB1809">
      <w:pPr>
        <w:rPr>
          <w:bCs w:val="0"/>
        </w:rPr>
      </w:pPr>
      <w:r>
        <w:rPr>
          <w:bCs w:val="0"/>
        </w:rPr>
        <w:t>The second provision relates to penalties for early distributions from IRAs.</w:t>
      </w:r>
      <w:r w:rsidR="002B6A65">
        <w:rPr>
          <w:bCs w:val="0"/>
        </w:rPr>
        <w:t xml:space="preserve"> </w:t>
      </w:r>
      <w:r>
        <w:rPr>
          <w:bCs w:val="0"/>
        </w:rPr>
        <w:t xml:space="preserve"> Under current law, an additional 10% tax applies to early distributions from tax-deferred retirement accounts. </w:t>
      </w:r>
      <w:r w:rsidR="002B6A65">
        <w:rPr>
          <w:bCs w:val="0"/>
        </w:rPr>
        <w:t xml:space="preserve"> </w:t>
      </w:r>
      <w:r>
        <w:rPr>
          <w:bCs w:val="0"/>
        </w:rPr>
        <w:t>Section 326 created a new exception to the tax for distributions to a “terminally ill” individual.  This provision will be located at IRC 72(t)(2)(L) of the Internal Revenue Code.</w:t>
      </w:r>
      <w:r w:rsidR="002B6A65">
        <w:rPr>
          <w:bCs w:val="0"/>
        </w:rPr>
        <w:t xml:space="preserve"> </w:t>
      </w:r>
      <w:r>
        <w:rPr>
          <w:bCs w:val="0"/>
        </w:rPr>
        <w:t xml:space="preserve"> Terminal illness is defined as an individual who has been certified by a physician as having an illness or physical condition which can be reasonably expected to result in death in 84 months or less after the date of certification. </w:t>
      </w:r>
      <w:r w:rsidR="002B6A65">
        <w:rPr>
          <w:bCs w:val="0"/>
        </w:rPr>
        <w:t xml:space="preserve"> </w:t>
      </w:r>
      <w:r>
        <w:rPr>
          <w:bCs w:val="0"/>
        </w:rPr>
        <w:t xml:space="preserve">This provision is applicable to IRA distributions made on or after December 30, 2022. </w:t>
      </w:r>
      <w:r w:rsidR="002B6A65">
        <w:rPr>
          <w:bCs w:val="0"/>
        </w:rPr>
        <w:t xml:space="preserve"> </w:t>
      </w:r>
      <w:r>
        <w:rPr>
          <w:bCs w:val="0"/>
        </w:rPr>
        <w:t xml:space="preserve">The manner of certification will also be clarified through the rulemaking process. </w:t>
      </w:r>
    </w:p>
    <w:p w14:paraId="098B73AE" w14:textId="77777777" w:rsidR="00AC06D2" w:rsidRDefault="00AC06D2" w:rsidP="00FB1809">
      <w:pPr>
        <w:rPr>
          <w:bCs w:val="0"/>
        </w:rPr>
      </w:pPr>
    </w:p>
    <w:p w14:paraId="0CC72A7B" w14:textId="24B3A813" w:rsidR="003F7F06" w:rsidRPr="003F7F06" w:rsidRDefault="007D62ED" w:rsidP="00FB1809">
      <w:pPr>
        <w:rPr>
          <w:bCs w:val="0"/>
        </w:rPr>
      </w:pPr>
      <w:r>
        <w:rPr>
          <w:bCs w:val="0"/>
        </w:rPr>
        <w:lastRenderedPageBreak/>
        <w:t xml:space="preserve">Another provision in the CAA 23 is the extension of Medicaid’s </w:t>
      </w:r>
      <w:r w:rsidRPr="003F7F06">
        <w:rPr>
          <w:b/>
        </w:rPr>
        <w:t>Money Follows the Person</w:t>
      </w:r>
      <w:r>
        <w:rPr>
          <w:bCs w:val="0"/>
        </w:rPr>
        <w:t xml:space="preserve"> program through 2027.  This enables states to apply for grants to help with transitional services for Medicaid participants who are moving from an institutional setting to a community-based residence.  </w:t>
      </w:r>
      <w:r w:rsidR="003F7F06" w:rsidRPr="003F7F06">
        <w:rPr>
          <w:b/>
        </w:rPr>
        <w:t>Spousal Impoverishment</w:t>
      </w:r>
      <w:r w:rsidR="003F7F06" w:rsidRPr="003F7F06">
        <w:rPr>
          <w:bCs w:val="0"/>
        </w:rPr>
        <w:t xml:space="preserve"> - extends through 2027 the provision that applies the spousal impoverishment protections to couples whose spouse lives in a community setting (in addition to the protections for a couple whose spouse lives in a nursing home). </w:t>
      </w:r>
      <w:r w:rsidR="00FB1809">
        <w:rPr>
          <w:bCs w:val="0"/>
        </w:rPr>
        <w:t xml:space="preserve"> SNA has long supported making these programs permanent.</w:t>
      </w:r>
    </w:p>
    <w:p w14:paraId="27BFC742" w14:textId="491F8AAF" w:rsidR="00E175CF" w:rsidRDefault="00E175CF" w:rsidP="00CB7C85">
      <w:pPr>
        <w:spacing w:after="120" w:line="240" w:lineRule="auto"/>
        <w:rPr>
          <w:bCs w:val="0"/>
        </w:rPr>
      </w:pPr>
      <w:r>
        <w:rPr>
          <w:bCs w:val="0"/>
        </w:rPr>
        <w:t xml:space="preserve">Also related to Medicaid, the Covid-19 </w:t>
      </w:r>
      <w:r w:rsidRPr="003F7F06">
        <w:rPr>
          <w:b/>
        </w:rPr>
        <w:t>Public Health Emergency</w:t>
      </w:r>
      <w:r>
        <w:rPr>
          <w:bCs w:val="0"/>
        </w:rPr>
        <w:t xml:space="preserve"> (PHE) </w:t>
      </w:r>
      <w:r w:rsidR="00C45DE5">
        <w:rPr>
          <w:bCs w:val="0"/>
        </w:rPr>
        <w:t>was just extended on January 11 for 90 days by Xavier Becerra, Secretary of Health and Human Services.   When the PHE is finally lifted (possibly in April), several things will happen, although t</w:t>
      </w:r>
      <w:r w:rsidR="00C45DE5" w:rsidRPr="00C45DE5">
        <w:t>he Biden administration has promised to give stakeholders 60 days’ notice before letting the COVID-19 PHE expire. </w:t>
      </w:r>
      <w:r w:rsidR="00C45DE5">
        <w:t xml:space="preserve"> For example,</w:t>
      </w:r>
      <w:r>
        <w:rPr>
          <w:bCs w:val="0"/>
        </w:rPr>
        <w:t xml:space="preserve"> states will start redeterminations of Medicaid eligibility.  Experts believe that millions of people </w:t>
      </w:r>
      <w:r w:rsidR="00C45DE5">
        <w:rPr>
          <w:bCs w:val="0"/>
        </w:rPr>
        <w:t>could</w:t>
      </w:r>
      <w:r>
        <w:rPr>
          <w:bCs w:val="0"/>
        </w:rPr>
        <w:t xml:space="preserve"> lose health care coverage under Medicaid </w:t>
      </w:r>
      <w:r w:rsidR="00C45DE5">
        <w:rPr>
          <w:bCs w:val="0"/>
        </w:rPr>
        <w:t xml:space="preserve">when this happens.  In addition, telehealth provisions </w:t>
      </w:r>
      <w:r w:rsidR="00EC3DFF">
        <w:rPr>
          <w:bCs w:val="0"/>
        </w:rPr>
        <w:t>would e</w:t>
      </w:r>
      <w:r w:rsidR="00C45DE5">
        <w:rPr>
          <w:bCs w:val="0"/>
        </w:rPr>
        <w:t>xpire</w:t>
      </w:r>
      <w:r w:rsidR="00EC3DFF">
        <w:rPr>
          <w:bCs w:val="0"/>
        </w:rPr>
        <w:t xml:space="preserve"> at the end of the PHE but</w:t>
      </w:r>
      <w:r w:rsidR="00FB1809">
        <w:rPr>
          <w:bCs w:val="0"/>
        </w:rPr>
        <w:t xml:space="preserve"> have been extended until the end of 2024 in the CAA 2023.</w:t>
      </w:r>
      <w:r w:rsidR="00C45DE5">
        <w:rPr>
          <w:bCs w:val="0"/>
        </w:rPr>
        <w:t xml:space="preserve">  </w:t>
      </w:r>
    </w:p>
    <w:p w14:paraId="29C3EA21" w14:textId="61F43440" w:rsidR="00475944" w:rsidRPr="00475944" w:rsidRDefault="00475944" w:rsidP="00475944">
      <w:pPr>
        <w:spacing w:after="120" w:line="240" w:lineRule="auto"/>
        <w:rPr>
          <w:bCs w:val="0"/>
        </w:rPr>
      </w:pPr>
      <w:r w:rsidRPr="00475944">
        <w:rPr>
          <w:bCs w:val="0"/>
        </w:rPr>
        <w:t xml:space="preserve">The Autistic Self Advocacy Network and other advocates have successfully gotten the Congress to recognize the FDA’s authority to </w:t>
      </w:r>
      <w:r w:rsidRPr="00475944">
        <w:rPr>
          <w:b/>
        </w:rPr>
        <w:t>ban electric shock</w:t>
      </w:r>
      <w:r w:rsidRPr="00475944">
        <w:rPr>
          <w:bCs w:val="0"/>
        </w:rPr>
        <w:t xml:space="preserve"> for behavior modification in the CAA 23.  Now advocates are urging the FDA to pass the rule to make the ban final.  </w:t>
      </w:r>
      <w:r>
        <w:rPr>
          <w:bCs w:val="0"/>
        </w:rPr>
        <w:t xml:space="preserve">Read this </w:t>
      </w:r>
      <w:hyperlink r:id="rId15" w:history="1">
        <w:r w:rsidRPr="00475944">
          <w:rPr>
            <w:rStyle w:val="Hyperlink"/>
            <w:bCs w:val="0"/>
          </w:rPr>
          <w:t>Stop the Shock article</w:t>
        </w:r>
      </w:hyperlink>
      <w:r>
        <w:rPr>
          <w:bCs w:val="0"/>
        </w:rPr>
        <w:t>.</w:t>
      </w:r>
    </w:p>
    <w:p w14:paraId="0289FABF" w14:textId="77777777" w:rsidR="003F7F06" w:rsidRPr="00475944" w:rsidRDefault="003F7F06" w:rsidP="00CB7C85">
      <w:pPr>
        <w:spacing w:after="120" w:line="240" w:lineRule="auto"/>
        <w:rPr>
          <w:b/>
          <w:bCs w:val="0"/>
          <w:u w:val="single"/>
        </w:rPr>
      </w:pPr>
      <w:r w:rsidRPr="00475944">
        <w:rPr>
          <w:b/>
          <w:bCs w:val="0"/>
          <w:u w:val="single"/>
        </w:rPr>
        <w:t xml:space="preserve">Funding Details: </w:t>
      </w:r>
    </w:p>
    <w:p w14:paraId="7CF39313" w14:textId="77777777" w:rsidR="003F7F06" w:rsidRDefault="003F7F06" w:rsidP="00CB7C85">
      <w:pPr>
        <w:spacing w:after="120" w:line="240" w:lineRule="auto"/>
      </w:pPr>
      <w:r w:rsidRPr="003F7F06">
        <w:rPr>
          <w:b/>
          <w:bCs w:val="0"/>
        </w:rPr>
        <w:t>HHS: </w:t>
      </w:r>
      <w:r w:rsidRPr="003F7F06">
        <w:t>$120.7 billion, an increase of $9.9 billion; </w:t>
      </w:r>
    </w:p>
    <w:p w14:paraId="64883835" w14:textId="77777777" w:rsidR="003F7F06" w:rsidRDefault="003F7F06" w:rsidP="00CB7C85">
      <w:pPr>
        <w:spacing w:after="120" w:line="240" w:lineRule="auto"/>
      </w:pPr>
      <w:r w:rsidRPr="003F7F06">
        <w:rPr>
          <w:b/>
          <w:bCs w:val="0"/>
        </w:rPr>
        <w:t>NIH</w:t>
      </w:r>
      <w:r w:rsidRPr="003F7F06">
        <w:t>: $47.5 billion, an increase of $2.5 billion with no less than 3.8 % increase for each institute and center at NIH, with an increase of $226 million above the fiscal year 2022 enacted level for Alzheimer’s disease and related dementias research; </w:t>
      </w:r>
    </w:p>
    <w:p w14:paraId="6E26CA03" w14:textId="77777777" w:rsidR="0059005A" w:rsidRDefault="0059005A" w:rsidP="00CB7C85">
      <w:pPr>
        <w:spacing w:after="120" w:line="240" w:lineRule="auto"/>
      </w:pPr>
      <w:r w:rsidRPr="0059005A">
        <w:rPr>
          <w:b/>
          <w:bCs w:val="0"/>
        </w:rPr>
        <w:t>Department of Education:</w:t>
      </w:r>
      <w:r>
        <w:t xml:space="preserve"> The bill includes $15.154 billion, an increase of $904 million or 6 percent, for Special Education State Grant programs that support services to an estimated 9 million students and children with a disability.</w:t>
      </w:r>
    </w:p>
    <w:p w14:paraId="51EC2BCB" w14:textId="2FDDE1A8" w:rsidR="003F7F06" w:rsidRDefault="003F7F06" w:rsidP="00CB7C85">
      <w:pPr>
        <w:spacing w:after="120" w:line="240" w:lineRule="auto"/>
      </w:pPr>
      <w:r w:rsidRPr="003F7F06">
        <w:rPr>
          <w:b/>
          <w:bCs w:val="0"/>
        </w:rPr>
        <w:t>NIA</w:t>
      </w:r>
      <w:r w:rsidRPr="003F7F06">
        <w:t>: funded at $4.4 billion, an increase of $187 million; </w:t>
      </w:r>
    </w:p>
    <w:p w14:paraId="154CE8CC" w14:textId="77777777" w:rsidR="003F7F06" w:rsidRDefault="003F7F06" w:rsidP="00CB7C85">
      <w:pPr>
        <w:spacing w:after="120" w:line="240" w:lineRule="auto"/>
      </w:pPr>
      <w:r w:rsidRPr="003F7F06">
        <w:rPr>
          <w:b/>
          <w:bCs w:val="0"/>
        </w:rPr>
        <w:t>ARPA-H</w:t>
      </w:r>
      <w:r w:rsidRPr="003F7F06">
        <w:t>: funded at $1.5 billion, an increase of $500 million to accelerate the pace of scientific breakthroughs; </w:t>
      </w:r>
    </w:p>
    <w:p w14:paraId="01196A45" w14:textId="766E59D7" w:rsidR="003F7F06" w:rsidRDefault="003F7F06" w:rsidP="00CB7C85">
      <w:pPr>
        <w:spacing w:after="120" w:line="240" w:lineRule="auto"/>
      </w:pPr>
      <w:r w:rsidRPr="003F7F06">
        <w:rPr>
          <w:b/>
          <w:bCs w:val="0"/>
        </w:rPr>
        <w:t>HRSA Workforce</w:t>
      </w:r>
      <w:r w:rsidRPr="003F7F06">
        <w:t>: $509 million, an increase of $51 million for Title VII Health Professions Education and Training</w:t>
      </w:r>
      <w:r w:rsidR="00B57200">
        <w:t>;</w:t>
      </w:r>
    </w:p>
    <w:p w14:paraId="122759B6" w14:textId="77777777" w:rsidR="003F7F06" w:rsidRDefault="003F7F06" w:rsidP="00CB7C85">
      <w:pPr>
        <w:spacing w:after="120" w:line="240" w:lineRule="auto"/>
      </w:pPr>
      <w:r w:rsidRPr="003F7F06">
        <w:rPr>
          <w:b/>
          <w:bCs w:val="0"/>
        </w:rPr>
        <w:t>Social Security Administration:</w:t>
      </w:r>
      <w:r w:rsidRPr="003F7F06">
        <w:t> $14 billion, an increase of $785 million; </w:t>
      </w:r>
    </w:p>
    <w:p w14:paraId="1B4A59A1" w14:textId="77777777" w:rsidR="003F7F06" w:rsidRDefault="003F7F06" w:rsidP="00CB7C85">
      <w:pPr>
        <w:spacing w:after="120" w:line="240" w:lineRule="auto"/>
      </w:pPr>
      <w:r w:rsidRPr="003F7F06">
        <w:rPr>
          <w:b/>
          <w:bCs w:val="0"/>
        </w:rPr>
        <w:t>CDC:</w:t>
      </w:r>
      <w:r w:rsidRPr="003F7F06">
        <w:t> $9.2 billion, increase of $760 million; </w:t>
      </w:r>
    </w:p>
    <w:p w14:paraId="266C83BE" w14:textId="77777777" w:rsidR="003F7F06" w:rsidRDefault="003F7F06" w:rsidP="00CB7C85">
      <w:pPr>
        <w:spacing w:after="120" w:line="240" w:lineRule="auto"/>
      </w:pPr>
      <w:r w:rsidRPr="003F7F06">
        <w:rPr>
          <w:b/>
          <w:bCs w:val="0"/>
        </w:rPr>
        <w:t>AHRQ:</w:t>
      </w:r>
      <w:r w:rsidRPr="003F7F06">
        <w:t> $373.5 million, an increase of $23 million; </w:t>
      </w:r>
    </w:p>
    <w:p w14:paraId="1BF9A67E" w14:textId="02798CF0" w:rsidR="003F7F06" w:rsidRDefault="003F7F06" w:rsidP="00CB7C85">
      <w:pPr>
        <w:spacing w:after="120" w:line="240" w:lineRule="auto"/>
      </w:pPr>
      <w:r w:rsidRPr="003F7F06">
        <w:rPr>
          <w:b/>
          <w:bCs w:val="0"/>
        </w:rPr>
        <w:t>Administration for Community Living</w:t>
      </w:r>
      <w:r w:rsidR="00B8448A">
        <w:rPr>
          <w:b/>
          <w:bCs w:val="0"/>
        </w:rPr>
        <w:t xml:space="preserve"> (ACL)</w:t>
      </w:r>
      <w:r w:rsidRPr="003F7F06">
        <w:rPr>
          <w:b/>
          <w:bCs w:val="0"/>
        </w:rPr>
        <w:t>: </w:t>
      </w:r>
      <w:r w:rsidRPr="003F7F06">
        <w:t>$2.5 billion, an increase of $220 million</w:t>
      </w:r>
      <w:r w:rsidR="00B8448A">
        <w:t>;</w:t>
      </w:r>
      <w:r w:rsidR="00B8448A" w:rsidRPr="003F7F06">
        <w:rPr>
          <w:b/>
          <w:bCs w:val="0"/>
        </w:rPr>
        <w:t xml:space="preserve"> </w:t>
      </w:r>
    </w:p>
    <w:p w14:paraId="0E65B3FF" w14:textId="5870CFAF" w:rsidR="009E2359" w:rsidRDefault="009E2359" w:rsidP="00CB7C85">
      <w:pPr>
        <w:spacing w:after="120" w:line="240" w:lineRule="auto"/>
      </w:pPr>
      <w:r>
        <w:rPr>
          <w:b/>
          <w:bCs w:val="0"/>
        </w:rPr>
        <w:t xml:space="preserve">Developmental Disabilities Programs: </w:t>
      </w:r>
      <w:r w:rsidRPr="009E2359">
        <w:t>$191 million, an increase of $5.753 million</w:t>
      </w:r>
      <w:r>
        <w:t xml:space="preserve"> (including State Councils, Protection and Advocacy, voting access, and others)</w:t>
      </w:r>
    </w:p>
    <w:p w14:paraId="676CA622" w14:textId="3CA2254D" w:rsidR="005E4D04" w:rsidRDefault="005E4D04" w:rsidP="00CB7C85">
      <w:pPr>
        <w:spacing w:after="120" w:line="240" w:lineRule="auto"/>
      </w:pPr>
      <w:r w:rsidRPr="005E4D04">
        <w:rPr>
          <w:b/>
          <w:bCs w:val="0"/>
        </w:rPr>
        <w:lastRenderedPageBreak/>
        <w:t>Paralysis Resource Center (PRC)</w:t>
      </w:r>
      <w:r>
        <w:rPr>
          <w:b/>
          <w:bCs w:val="0"/>
        </w:rPr>
        <w:t xml:space="preserve">: </w:t>
      </w:r>
      <w:r>
        <w:t>$10</w:t>
      </w:r>
      <w:r w:rsidR="009E2359">
        <w:t>.7 million, an increase of $1 million</w:t>
      </w:r>
      <w:r>
        <w:t>;</w:t>
      </w:r>
    </w:p>
    <w:p w14:paraId="46FF7742" w14:textId="5C2B4E66" w:rsidR="003F7F06" w:rsidRDefault="003F7F06" w:rsidP="00CB7C85">
      <w:pPr>
        <w:spacing w:after="120" w:line="240" w:lineRule="auto"/>
      </w:pPr>
      <w:r w:rsidRPr="003F7F06">
        <w:rPr>
          <w:b/>
          <w:bCs w:val="0"/>
        </w:rPr>
        <w:t>Direct Care Workforce Demonstration</w:t>
      </w:r>
      <w:r w:rsidRPr="003F7F06">
        <w:t> is funded at $2 million; </w:t>
      </w:r>
    </w:p>
    <w:p w14:paraId="5D36E1BF" w14:textId="77777777" w:rsidR="003F7F06" w:rsidRDefault="003F7F06" w:rsidP="00CB7C85">
      <w:pPr>
        <w:spacing w:after="120" w:line="240" w:lineRule="auto"/>
      </w:pPr>
      <w:r w:rsidRPr="003F7F06">
        <w:rPr>
          <w:b/>
          <w:bCs w:val="0"/>
        </w:rPr>
        <w:t>Home and Community-Based Services and Senior Centers:</w:t>
      </w:r>
      <w:r w:rsidRPr="003F7F06">
        <w:t> funded at $410 million, an increase of $11 million; </w:t>
      </w:r>
    </w:p>
    <w:p w14:paraId="3774FC88" w14:textId="77777777" w:rsidR="003F7F06" w:rsidRDefault="003F7F06" w:rsidP="00CB7C85">
      <w:pPr>
        <w:spacing w:after="120" w:line="240" w:lineRule="auto"/>
      </w:pPr>
      <w:r w:rsidRPr="003F7F06">
        <w:rPr>
          <w:b/>
          <w:bCs w:val="0"/>
        </w:rPr>
        <w:t>Preventive Health Services</w:t>
      </w:r>
      <w:r w:rsidRPr="003F7F06">
        <w:t>: funded at $26 million, an increase of $1.5 million; </w:t>
      </w:r>
    </w:p>
    <w:p w14:paraId="514C5382" w14:textId="77777777" w:rsidR="003F7F06" w:rsidRDefault="003F7F06" w:rsidP="00CB7C85">
      <w:pPr>
        <w:spacing w:after="120" w:line="240" w:lineRule="auto"/>
      </w:pPr>
      <w:r w:rsidRPr="003F7F06">
        <w:rPr>
          <w:b/>
          <w:bCs w:val="0"/>
        </w:rPr>
        <w:t>Aging and Disability Resource Centers</w:t>
      </w:r>
      <w:r w:rsidRPr="003F7F06">
        <w:t>: funded at $8.6 million, an increase of $500,000; </w:t>
      </w:r>
    </w:p>
    <w:p w14:paraId="5D38EE80" w14:textId="77777777" w:rsidR="003F7F06" w:rsidRDefault="003F7F06" w:rsidP="00CB7C85">
      <w:pPr>
        <w:spacing w:after="120" w:line="240" w:lineRule="auto"/>
      </w:pPr>
      <w:r w:rsidRPr="003F7F06">
        <w:rPr>
          <w:b/>
          <w:bCs w:val="0"/>
        </w:rPr>
        <w:t>National Family Caregiver Support Program</w:t>
      </w:r>
      <w:r w:rsidRPr="003F7F06">
        <w:t>: funded at $205 million, increase of $11 million; </w:t>
      </w:r>
    </w:p>
    <w:p w14:paraId="3A906ECA" w14:textId="77777777" w:rsidR="003F7F06" w:rsidRDefault="003F7F06" w:rsidP="00CB7C85">
      <w:pPr>
        <w:spacing w:after="120" w:line="240" w:lineRule="auto"/>
      </w:pPr>
      <w:r w:rsidRPr="003F7F06">
        <w:rPr>
          <w:b/>
          <w:bCs w:val="0"/>
        </w:rPr>
        <w:t>Lifespan Respite Care</w:t>
      </w:r>
      <w:r w:rsidRPr="003F7F06">
        <w:t>: funded at $10 million, an increase of nearly $2 million; </w:t>
      </w:r>
    </w:p>
    <w:p w14:paraId="0BFF1F86" w14:textId="77777777" w:rsidR="003F7F06" w:rsidRDefault="003F7F06" w:rsidP="00CB7C85">
      <w:pPr>
        <w:spacing w:after="120" w:line="240" w:lineRule="auto"/>
      </w:pPr>
      <w:r w:rsidRPr="003F7F06">
        <w:rPr>
          <w:b/>
          <w:bCs w:val="0"/>
        </w:rPr>
        <w:t>Long-Term Care Ombudsman</w:t>
      </w:r>
      <w:r w:rsidRPr="003F7F06">
        <w:t>: funded at $21.6 million, an increase of $2 million; </w:t>
      </w:r>
    </w:p>
    <w:p w14:paraId="6EF97779" w14:textId="77777777" w:rsidR="003F7F06" w:rsidRDefault="003F7F06" w:rsidP="00CB7C85">
      <w:pPr>
        <w:spacing w:after="120" w:line="240" w:lineRule="auto"/>
      </w:pPr>
      <w:r w:rsidRPr="003F7F06">
        <w:rPr>
          <w:b/>
          <w:bCs w:val="0"/>
        </w:rPr>
        <w:t>Elder Rights/Adult Protective Services</w:t>
      </w:r>
      <w:r w:rsidRPr="003F7F06">
        <w:t>: funded at $33.9 million, an increase of $15 million; </w:t>
      </w:r>
    </w:p>
    <w:p w14:paraId="612EF5C2" w14:textId="77777777" w:rsidR="003F7F06" w:rsidRDefault="003F7F06" w:rsidP="00CB7C85">
      <w:pPr>
        <w:spacing w:after="120" w:line="240" w:lineRule="auto"/>
      </w:pPr>
      <w:r w:rsidRPr="003F7F06">
        <w:rPr>
          <w:b/>
          <w:bCs w:val="0"/>
        </w:rPr>
        <w:t>Section 202 Housing for the Elderly:</w:t>
      </w:r>
      <w:r w:rsidRPr="003F7F06">
        <w:t> funded at $1,075 billion, an increase of $42 million and </w:t>
      </w:r>
      <w:r w:rsidRPr="003F7F06">
        <w:rPr>
          <w:b/>
          <w:bCs w:val="0"/>
        </w:rPr>
        <w:t>Section 811 Housing for People with Disabilities</w:t>
      </w:r>
      <w:r w:rsidRPr="003F7F06">
        <w:t> funded at $360 million, an increase of $8 million (about 2,800 new affordable housing units for older people and people with disabilities); </w:t>
      </w:r>
    </w:p>
    <w:p w14:paraId="66D2B44F" w14:textId="1C5E1A98" w:rsidR="00DB5607" w:rsidRDefault="003F7F06" w:rsidP="00CB7C85">
      <w:pPr>
        <w:spacing w:after="120" w:line="240" w:lineRule="auto"/>
        <w:rPr>
          <w:bCs w:val="0"/>
        </w:rPr>
      </w:pPr>
      <w:r w:rsidRPr="003F7F06">
        <w:rPr>
          <w:b/>
          <w:bCs w:val="0"/>
        </w:rPr>
        <w:t>LIHEAP (Low Income Energy Assistance Program):</w:t>
      </w:r>
      <w:r w:rsidRPr="003F7F06">
        <w:t> funded at $4 billion, an increase of $200 million.</w:t>
      </w:r>
    </w:p>
    <w:p w14:paraId="63B58830" w14:textId="463680B0" w:rsidR="003F7F06" w:rsidRDefault="003F7F06" w:rsidP="00CB7C85">
      <w:pPr>
        <w:spacing w:after="120" w:line="240" w:lineRule="auto"/>
        <w:rPr>
          <w:bCs w:val="0"/>
        </w:rPr>
      </w:pPr>
    </w:p>
    <w:p w14:paraId="33F3C551" w14:textId="4323BBA1" w:rsidR="003F7F06" w:rsidRPr="00475944" w:rsidRDefault="00475944" w:rsidP="00CB7C85">
      <w:pPr>
        <w:spacing w:after="120" w:line="240" w:lineRule="auto"/>
        <w:rPr>
          <w:b/>
          <w:u w:val="single"/>
        </w:rPr>
      </w:pPr>
      <w:r w:rsidRPr="00475944">
        <w:rPr>
          <w:b/>
          <w:u w:val="single"/>
        </w:rPr>
        <w:t>More News</w:t>
      </w:r>
    </w:p>
    <w:p w14:paraId="652E0848" w14:textId="2235B8CB" w:rsidR="003F7F06" w:rsidRDefault="00475944" w:rsidP="00CB7C85">
      <w:pPr>
        <w:spacing w:after="120" w:line="240" w:lineRule="auto"/>
        <w:rPr>
          <w:bCs w:val="0"/>
        </w:rPr>
      </w:pPr>
      <w:r>
        <w:rPr>
          <w:bCs w:val="0"/>
        </w:rPr>
        <w:t>The chair of the House Appropriations Committee, Rep. Kay Granger (TX-12</w:t>
      </w:r>
      <w:r w:rsidRPr="00475944">
        <w:rPr>
          <w:bCs w:val="0"/>
          <w:vertAlign w:val="superscript"/>
        </w:rPr>
        <w:t>th</w:t>
      </w:r>
      <w:r>
        <w:rPr>
          <w:bCs w:val="0"/>
        </w:rPr>
        <w:t xml:space="preserve">, R), has identified the subcommittee chairs who will be responsible for appropriations for the federal agencies under their purview. See the list </w:t>
      </w:r>
      <w:hyperlink r:id="rId16" w:history="1">
        <w:r w:rsidRPr="00475944">
          <w:rPr>
            <w:rStyle w:val="Hyperlink"/>
            <w:bCs w:val="0"/>
          </w:rPr>
          <w:t>here</w:t>
        </w:r>
      </w:hyperlink>
      <w:r>
        <w:rPr>
          <w:bCs w:val="0"/>
        </w:rPr>
        <w:t xml:space="preserve">. </w:t>
      </w:r>
    </w:p>
    <w:p w14:paraId="515CFFB6" w14:textId="0E1F03E9" w:rsidR="007C0C41" w:rsidRPr="00EF66D7" w:rsidRDefault="00EF66D7" w:rsidP="00CB7C85">
      <w:pPr>
        <w:spacing w:after="120" w:line="240" w:lineRule="auto"/>
        <w:rPr>
          <w:b/>
          <w:bCs w:val="0"/>
        </w:rPr>
      </w:pPr>
      <w:r w:rsidRPr="00EF66D7">
        <w:rPr>
          <w:b/>
          <w:bCs w:val="0"/>
        </w:rPr>
        <w:t>Social Security and Medicare Changes</w:t>
      </w:r>
    </w:p>
    <w:p w14:paraId="7E74B08C" w14:textId="28754DD5" w:rsidR="00EF66D7" w:rsidRDefault="00EF66D7" w:rsidP="00CB7C85">
      <w:pPr>
        <w:spacing w:after="120"/>
      </w:pPr>
      <w:r>
        <w:t xml:space="preserve">The cost-of-living adjustment (COLA) for Social Security beneficiaries, including those on Supplemental Security Income (SSI) is 8.7%, the largest percentage increase since 1981.  The Medicare Part B monthly premium declines from $170.10 per month to $164.90 in 2023.  And, under changes to the earnings for those receiving Social Security Disability Insurance (SSDI), the threshold for monthly income rises from $1,350 to $1,470 in 2023 for most disabled beneficiaries.  Read more earnings test and tax changes from </w:t>
      </w:r>
      <w:hyperlink r:id="rId17" w:history="1">
        <w:r w:rsidRPr="00EF66D7">
          <w:rPr>
            <w:rStyle w:val="Hyperlink"/>
          </w:rPr>
          <w:t>AARP</w:t>
        </w:r>
      </w:hyperlink>
      <w:r>
        <w:t xml:space="preserve">. </w:t>
      </w:r>
    </w:p>
    <w:p w14:paraId="7F92A335" w14:textId="3BCEE10A" w:rsidR="00C45DE5" w:rsidRDefault="00C45DE5" w:rsidP="00421EA4">
      <w:pPr>
        <w:rPr>
          <w:b/>
        </w:rPr>
      </w:pPr>
      <w:r>
        <w:rPr>
          <w:b/>
        </w:rPr>
        <w:t>Debt Ceiling Face-Off</w:t>
      </w:r>
    </w:p>
    <w:p w14:paraId="0A9C22C3" w14:textId="77C2F4FA" w:rsidR="00C45DE5" w:rsidRPr="00C45DE5" w:rsidRDefault="00C45DE5" w:rsidP="00421EA4">
      <w:pPr>
        <w:rPr>
          <w:bCs w:val="0"/>
        </w:rPr>
      </w:pPr>
      <w:r>
        <w:rPr>
          <w:bCs w:val="0"/>
        </w:rPr>
        <w:t xml:space="preserve">The debt ceiling deadline is January 19, although the Treasury Department is able to continue paying bills for several months while the Biden administration and House Republicans stare each other down.  </w:t>
      </w:r>
      <w:r w:rsidR="009816AD">
        <w:rPr>
          <w:bCs w:val="0"/>
        </w:rPr>
        <w:t>Stay tuned.</w:t>
      </w:r>
    </w:p>
    <w:p w14:paraId="231A2A44" w14:textId="77777777" w:rsidR="002B6A65" w:rsidRDefault="002B6A65" w:rsidP="00421EA4">
      <w:pPr>
        <w:rPr>
          <w:b/>
        </w:rPr>
      </w:pPr>
    </w:p>
    <w:p w14:paraId="1352D023" w14:textId="77777777" w:rsidR="002B6A65" w:rsidRDefault="002B6A65" w:rsidP="00421EA4">
      <w:pPr>
        <w:rPr>
          <w:b/>
        </w:rPr>
      </w:pPr>
    </w:p>
    <w:p w14:paraId="151D9A1E" w14:textId="3DD44473" w:rsidR="009816AD" w:rsidRDefault="009816AD" w:rsidP="00421EA4">
      <w:pPr>
        <w:rPr>
          <w:b/>
        </w:rPr>
      </w:pPr>
      <w:r>
        <w:rPr>
          <w:b/>
        </w:rPr>
        <w:lastRenderedPageBreak/>
        <w:t>NIH Working Group on Diversity Report</w:t>
      </w:r>
    </w:p>
    <w:p w14:paraId="7988C861" w14:textId="3C49E5EE" w:rsidR="009816AD" w:rsidRPr="009816AD" w:rsidRDefault="009816AD" w:rsidP="00421EA4">
      <w:pPr>
        <w:rPr>
          <w:bCs w:val="0"/>
        </w:rPr>
      </w:pPr>
      <w:r w:rsidRPr="009816AD">
        <w:rPr>
          <w:bCs w:val="0"/>
        </w:rPr>
        <w:t xml:space="preserve">The NIH Working Group on Diversity 's subgroup on individuals with disabilities recently released </w:t>
      </w:r>
      <w:r w:rsidR="002B6A65">
        <w:rPr>
          <w:bCs w:val="0"/>
        </w:rPr>
        <w:t>the</w:t>
      </w:r>
      <w:r w:rsidRPr="009816AD">
        <w:rPr>
          <w:bCs w:val="0"/>
        </w:rPr>
        <w:t> </w:t>
      </w:r>
      <w:hyperlink r:id="rId18" w:tgtFrame="_blank" w:history="1">
        <w:r>
          <w:rPr>
            <w:rStyle w:val="Hyperlink"/>
            <w:bCs w:val="0"/>
          </w:rPr>
          <w:t>Advisory Committee to the Director Working Group on Diversity Subgroup on Individuals with Disabilities Report</w:t>
        </w:r>
      </w:hyperlink>
      <w:r w:rsidRPr="009816AD">
        <w:rPr>
          <w:bCs w:val="0"/>
        </w:rPr>
        <w:t>.  The goal of the workgroup was to understand and identify ways to "promote disability inclusion, eliminate ableism (discrimination towards or devaluing the lives of disabled people), and remove barriers to succeeding in and benefiting from research for people with disabilities." The working group's recommendations echo the findings of a White House </w:t>
      </w:r>
      <w:hyperlink r:id="rId19" w:tgtFrame="_blank" w:history="1">
        <w:r w:rsidRPr="009816AD">
          <w:rPr>
            <w:rStyle w:val="Hyperlink"/>
            <w:bCs w:val="0"/>
          </w:rPr>
          <w:t>summit</w:t>
        </w:r>
      </w:hyperlink>
      <w:r w:rsidRPr="009816AD">
        <w:rPr>
          <w:bCs w:val="0"/>
        </w:rPr>
        <w:t> held in December 2022 in which the Biden administration announced ways to promote equity and inclusion across the STEMM (science, technology, engineering, mathematics, and medicine) landscape. Read an overview article by the NIH subgroup's co-chairs </w:t>
      </w:r>
      <w:hyperlink r:id="rId20" w:tgtFrame="_blank" w:history="1">
        <w:r w:rsidRPr="009816AD">
          <w:rPr>
            <w:rStyle w:val="Hyperlink"/>
            <w:bCs w:val="0"/>
          </w:rPr>
          <w:t>here</w:t>
        </w:r>
      </w:hyperlink>
      <w:r w:rsidRPr="009816AD">
        <w:rPr>
          <w:bCs w:val="0"/>
        </w:rPr>
        <w:t>. </w:t>
      </w:r>
    </w:p>
    <w:p w14:paraId="18673750" w14:textId="0F7C326B" w:rsidR="00421EA4" w:rsidRPr="00A64814" w:rsidRDefault="00421EA4" w:rsidP="00421EA4">
      <w:pPr>
        <w:rPr>
          <w:b/>
        </w:rPr>
      </w:pPr>
      <w:r w:rsidRPr="00A64814">
        <w:rPr>
          <w:b/>
        </w:rPr>
        <w:t>Retirement of PBS NewsHour Journalist Judy Woodruff</w:t>
      </w:r>
    </w:p>
    <w:p w14:paraId="4AC1AC83" w14:textId="0338CD7A" w:rsidR="00421EA4" w:rsidRDefault="00421EA4" w:rsidP="00421EA4">
      <w:pPr>
        <w:rPr>
          <w:bCs w:val="0"/>
        </w:rPr>
      </w:pPr>
      <w:r>
        <w:rPr>
          <w:bCs w:val="0"/>
        </w:rPr>
        <w:t xml:space="preserve">Read the story of Woodruff’s family’s life with a special needs child and how this has influenced what </w:t>
      </w:r>
      <w:hyperlink r:id="rId21" w:history="1">
        <w:r w:rsidRPr="007D62ED">
          <w:rPr>
            <w:rStyle w:val="Hyperlink"/>
            <w:bCs w:val="0"/>
          </w:rPr>
          <w:t>Judy Woodruff's next chapter</w:t>
        </w:r>
      </w:hyperlink>
      <w:r>
        <w:rPr>
          <w:bCs w:val="0"/>
        </w:rPr>
        <w:t xml:space="preserve"> will be.</w:t>
      </w:r>
    </w:p>
    <w:p w14:paraId="4A7AA4E0" w14:textId="3DAC3DCD" w:rsidR="007E7D20" w:rsidRPr="007E7D20" w:rsidRDefault="007E7D20" w:rsidP="007E7D20">
      <w:pPr>
        <w:rPr>
          <w:b/>
          <w:bCs w:val="0"/>
        </w:rPr>
      </w:pPr>
      <w:r w:rsidRPr="007E7D20">
        <w:rPr>
          <w:b/>
          <w:bCs w:val="0"/>
        </w:rPr>
        <w:t>January 2023</w:t>
      </w:r>
    </w:p>
    <w:p w14:paraId="0F3AD623" w14:textId="77777777" w:rsidR="00E32553" w:rsidRDefault="00E32553" w:rsidP="00E32553">
      <w:bookmarkStart w:id="0" w:name="_Hlk66810906"/>
      <w:r>
        <w:t xml:space="preserve">Thank you, </w:t>
      </w:r>
    </w:p>
    <w:p w14:paraId="490FB43C" w14:textId="5F35B4FC" w:rsidR="00E32553" w:rsidRDefault="00E32553" w:rsidP="00E32553">
      <w:r w:rsidRPr="00D329C6">
        <w:t xml:space="preserve">Brian </w:t>
      </w:r>
    </w:p>
    <w:p w14:paraId="2A6D1133" w14:textId="2D6EDC57" w:rsidR="00E32553" w:rsidRDefault="00E32553" w:rsidP="00E32553">
      <w:pPr>
        <w:spacing w:after="0" w:line="240" w:lineRule="auto"/>
      </w:pPr>
      <w:r>
        <w:t>Brian W. Lindberg</w:t>
      </w:r>
    </w:p>
    <w:p w14:paraId="1107CAA7" w14:textId="1930297F" w:rsidR="00E32553" w:rsidRPr="00D329C6" w:rsidRDefault="00E32553" w:rsidP="00E32553">
      <w:pPr>
        <w:spacing w:after="0" w:line="240" w:lineRule="auto"/>
      </w:pPr>
      <w:r>
        <w:t>SNA Public Policy Advisor</w:t>
      </w:r>
    </w:p>
    <w:p w14:paraId="7A822B60" w14:textId="77777777" w:rsidR="00E32553" w:rsidRDefault="00E32553" w:rsidP="00E32553">
      <w:pPr>
        <w:rPr>
          <w:b/>
          <w:bCs w:val="0"/>
        </w:rPr>
      </w:pPr>
    </w:p>
    <w:p w14:paraId="6EC6E9F3" w14:textId="77777777" w:rsidR="00E32553" w:rsidRPr="004F586E" w:rsidRDefault="00E32553" w:rsidP="00E32553">
      <w:pPr>
        <w:spacing w:after="0" w:line="240" w:lineRule="auto"/>
        <w:rPr>
          <w:b/>
          <w:bCs w:val="0"/>
        </w:rPr>
      </w:pPr>
      <w:r w:rsidRPr="004F586E">
        <w:rPr>
          <w:b/>
        </w:rPr>
        <w:t>And the SNA Public Policy Team:</w:t>
      </w:r>
    </w:p>
    <w:p w14:paraId="6009F4A7" w14:textId="77777777" w:rsidR="00E32553" w:rsidRPr="001C5138" w:rsidRDefault="00E32553" w:rsidP="00E32553">
      <w:pPr>
        <w:spacing w:after="0" w:line="240" w:lineRule="auto"/>
      </w:pPr>
      <w:r w:rsidRPr="001C5138">
        <w:t>Christopher Smith, Public Policy Co-Chair</w:t>
      </w:r>
    </w:p>
    <w:p w14:paraId="78FBA1BA" w14:textId="77777777" w:rsidR="00E32553" w:rsidRPr="001C5138" w:rsidRDefault="00E32553" w:rsidP="00E32553">
      <w:pPr>
        <w:spacing w:after="0" w:line="240" w:lineRule="auto"/>
      </w:pPr>
      <w:r w:rsidRPr="001C5138">
        <w:t>Roxanne Chang, Public Policy Co-Chair</w:t>
      </w:r>
    </w:p>
    <w:p w14:paraId="68784E76" w14:textId="77777777" w:rsidR="00E32553" w:rsidRPr="001C5138" w:rsidRDefault="00E32553" w:rsidP="00E32553">
      <w:pPr>
        <w:spacing w:after="0" w:line="240" w:lineRule="auto"/>
      </w:pPr>
      <w:r w:rsidRPr="001C5138">
        <w:t>Tara Anne Pleat, Editor</w:t>
      </w:r>
    </w:p>
    <w:p w14:paraId="08049139" w14:textId="77777777" w:rsidR="00E32553" w:rsidRDefault="00E32553" w:rsidP="00E32553">
      <w:pPr>
        <w:spacing w:after="0" w:line="240" w:lineRule="auto"/>
      </w:pPr>
    </w:p>
    <w:bookmarkEnd w:id="0"/>
    <w:p w14:paraId="5B578ED7" w14:textId="77777777" w:rsidR="00E32553" w:rsidRPr="007D62ED" w:rsidRDefault="00E32553" w:rsidP="00421EA4">
      <w:pPr>
        <w:rPr>
          <w:bCs w:val="0"/>
        </w:rPr>
      </w:pPr>
    </w:p>
    <w:sectPr w:rsidR="00E32553" w:rsidRPr="007D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D5E"/>
    <w:multiLevelType w:val="multilevel"/>
    <w:tmpl w:val="10C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670FD"/>
    <w:multiLevelType w:val="multilevel"/>
    <w:tmpl w:val="DFBE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91F6B"/>
    <w:multiLevelType w:val="multilevel"/>
    <w:tmpl w:val="040E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0613C"/>
    <w:multiLevelType w:val="multilevel"/>
    <w:tmpl w:val="24AC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B35B8"/>
    <w:multiLevelType w:val="hybridMultilevel"/>
    <w:tmpl w:val="06F2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22F5F"/>
    <w:multiLevelType w:val="multilevel"/>
    <w:tmpl w:val="06D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591863"/>
    <w:multiLevelType w:val="hybridMultilevel"/>
    <w:tmpl w:val="EBA8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906529">
    <w:abstractNumId w:val="2"/>
  </w:num>
  <w:num w:numId="2" w16cid:durableId="99494897">
    <w:abstractNumId w:val="5"/>
  </w:num>
  <w:num w:numId="3" w16cid:durableId="1183281855">
    <w:abstractNumId w:val="4"/>
  </w:num>
  <w:num w:numId="4" w16cid:durableId="369454789">
    <w:abstractNumId w:val="3"/>
  </w:num>
  <w:num w:numId="5" w16cid:durableId="1457794238">
    <w:abstractNumId w:val="1"/>
  </w:num>
  <w:num w:numId="6" w16cid:durableId="831486765">
    <w:abstractNumId w:val="0"/>
  </w:num>
  <w:num w:numId="7" w16cid:durableId="1950501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42"/>
    <w:rsid w:val="000A24B8"/>
    <w:rsid w:val="000B65B1"/>
    <w:rsid w:val="001527B6"/>
    <w:rsid w:val="001E31C6"/>
    <w:rsid w:val="002329C0"/>
    <w:rsid w:val="00264DBA"/>
    <w:rsid w:val="0028741E"/>
    <w:rsid w:val="002B6A65"/>
    <w:rsid w:val="002C2642"/>
    <w:rsid w:val="003A2CE7"/>
    <w:rsid w:val="003D4AD4"/>
    <w:rsid w:val="003F7F06"/>
    <w:rsid w:val="00421EA4"/>
    <w:rsid w:val="004244A6"/>
    <w:rsid w:val="00475944"/>
    <w:rsid w:val="0059005A"/>
    <w:rsid w:val="005E4D04"/>
    <w:rsid w:val="005F732D"/>
    <w:rsid w:val="00750DD4"/>
    <w:rsid w:val="007C0C41"/>
    <w:rsid w:val="007D62ED"/>
    <w:rsid w:val="007E7D20"/>
    <w:rsid w:val="00926BD5"/>
    <w:rsid w:val="009816AD"/>
    <w:rsid w:val="009C04E9"/>
    <w:rsid w:val="009C428B"/>
    <w:rsid w:val="009E2359"/>
    <w:rsid w:val="00A64814"/>
    <w:rsid w:val="00AA0E32"/>
    <w:rsid w:val="00AC06D2"/>
    <w:rsid w:val="00B34062"/>
    <w:rsid w:val="00B57200"/>
    <w:rsid w:val="00B8448A"/>
    <w:rsid w:val="00B975D7"/>
    <w:rsid w:val="00BA4BD2"/>
    <w:rsid w:val="00BC4FD2"/>
    <w:rsid w:val="00BD2B94"/>
    <w:rsid w:val="00C45DE5"/>
    <w:rsid w:val="00C922BE"/>
    <w:rsid w:val="00CB05E9"/>
    <w:rsid w:val="00CB7C85"/>
    <w:rsid w:val="00DB5607"/>
    <w:rsid w:val="00E175CF"/>
    <w:rsid w:val="00E32553"/>
    <w:rsid w:val="00E70A6C"/>
    <w:rsid w:val="00E85982"/>
    <w:rsid w:val="00EC3DFF"/>
    <w:rsid w:val="00EF66D7"/>
    <w:rsid w:val="00F5697F"/>
    <w:rsid w:val="00F66E95"/>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5AB2"/>
  <w15:chartTrackingRefBased/>
  <w15:docId w15:val="{0879E3EB-392B-40B3-AE9F-46547DB0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sualindicator">
    <w:name w:val="visualindicator"/>
    <w:basedOn w:val="DefaultParagraphFont"/>
    <w:rsid w:val="002C2642"/>
  </w:style>
  <w:style w:type="character" w:customStyle="1" w:styleId="result-heading">
    <w:name w:val="result-heading"/>
    <w:basedOn w:val="DefaultParagraphFont"/>
    <w:rsid w:val="002C2642"/>
  </w:style>
  <w:style w:type="character" w:styleId="Hyperlink">
    <w:name w:val="Hyperlink"/>
    <w:basedOn w:val="DefaultParagraphFont"/>
    <w:uiPriority w:val="99"/>
    <w:unhideWhenUsed/>
    <w:rsid w:val="002C2642"/>
    <w:rPr>
      <w:color w:val="0000FF"/>
      <w:u w:val="single"/>
    </w:rPr>
  </w:style>
  <w:style w:type="character" w:customStyle="1" w:styleId="result-title">
    <w:name w:val="result-title"/>
    <w:basedOn w:val="DefaultParagraphFont"/>
    <w:rsid w:val="002C2642"/>
  </w:style>
  <w:style w:type="character" w:customStyle="1" w:styleId="result-item">
    <w:name w:val="result-item"/>
    <w:basedOn w:val="DefaultParagraphFont"/>
    <w:rsid w:val="002C2642"/>
  </w:style>
  <w:style w:type="character" w:styleId="Strong">
    <w:name w:val="Strong"/>
    <w:basedOn w:val="DefaultParagraphFont"/>
    <w:uiPriority w:val="22"/>
    <w:qFormat/>
    <w:rsid w:val="002C2642"/>
    <w:rPr>
      <w:b/>
      <w:bCs w:val="0"/>
    </w:rPr>
  </w:style>
  <w:style w:type="character" w:customStyle="1" w:styleId="tracker-label">
    <w:name w:val="tracker-label"/>
    <w:basedOn w:val="DefaultParagraphFont"/>
    <w:rsid w:val="002C2642"/>
  </w:style>
  <w:style w:type="paragraph" w:customStyle="1" w:styleId="hidefromsighted">
    <w:name w:val="hide_fromsighted"/>
    <w:basedOn w:val="Normal"/>
    <w:rsid w:val="002C2642"/>
    <w:pPr>
      <w:spacing w:before="100" w:beforeAutospacing="1" w:after="100" w:afterAutospacing="1" w:line="240" w:lineRule="auto"/>
    </w:pPr>
    <w:rPr>
      <w:rFonts w:ascii="Times New Roman" w:eastAsia="Times New Roman" w:hAnsi="Times New Roman" w:cs="Times New Roman"/>
      <w:bCs w:val="0"/>
    </w:rPr>
  </w:style>
  <w:style w:type="character" w:styleId="CommentReference">
    <w:name w:val="annotation reference"/>
    <w:basedOn w:val="DefaultParagraphFont"/>
    <w:uiPriority w:val="99"/>
    <w:semiHidden/>
    <w:unhideWhenUsed/>
    <w:rsid w:val="003A2CE7"/>
    <w:rPr>
      <w:sz w:val="16"/>
      <w:szCs w:val="16"/>
    </w:rPr>
  </w:style>
  <w:style w:type="paragraph" w:styleId="CommentText">
    <w:name w:val="annotation text"/>
    <w:basedOn w:val="Normal"/>
    <w:link w:val="CommentTextChar"/>
    <w:uiPriority w:val="99"/>
    <w:unhideWhenUsed/>
    <w:rsid w:val="003A2CE7"/>
    <w:pPr>
      <w:spacing w:line="240" w:lineRule="auto"/>
    </w:pPr>
    <w:rPr>
      <w:sz w:val="20"/>
      <w:szCs w:val="20"/>
    </w:rPr>
  </w:style>
  <w:style w:type="character" w:customStyle="1" w:styleId="CommentTextChar">
    <w:name w:val="Comment Text Char"/>
    <w:basedOn w:val="DefaultParagraphFont"/>
    <w:link w:val="CommentText"/>
    <w:uiPriority w:val="99"/>
    <w:rsid w:val="003A2CE7"/>
    <w:rPr>
      <w:sz w:val="20"/>
      <w:szCs w:val="20"/>
    </w:rPr>
  </w:style>
  <w:style w:type="paragraph" w:styleId="CommentSubject">
    <w:name w:val="annotation subject"/>
    <w:basedOn w:val="CommentText"/>
    <w:next w:val="CommentText"/>
    <w:link w:val="CommentSubjectChar"/>
    <w:uiPriority w:val="99"/>
    <w:semiHidden/>
    <w:unhideWhenUsed/>
    <w:rsid w:val="003A2CE7"/>
    <w:rPr>
      <w:b/>
    </w:rPr>
  </w:style>
  <w:style w:type="character" w:customStyle="1" w:styleId="CommentSubjectChar">
    <w:name w:val="Comment Subject Char"/>
    <w:basedOn w:val="CommentTextChar"/>
    <w:link w:val="CommentSubject"/>
    <w:uiPriority w:val="99"/>
    <w:semiHidden/>
    <w:rsid w:val="003A2CE7"/>
    <w:rPr>
      <w:b/>
      <w:sz w:val="20"/>
      <w:szCs w:val="20"/>
    </w:rPr>
  </w:style>
  <w:style w:type="paragraph" w:styleId="ListParagraph">
    <w:name w:val="List Paragraph"/>
    <w:basedOn w:val="Normal"/>
    <w:uiPriority w:val="34"/>
    <w:qFormat/>
    <w:rsid w:val="003A2CE7"/>
    <w:pPr>
      <w:ind w:left="720"/>
      <w:contextualSpacing/>
    </w:pPr>
  </w:style>
  <w:style w:type="character" w:styleId="UnresolvedMention">
    <w:name w:val="Unresolved Mention"/>
    <w:basedOn w:val="DefaultParagraphFont"/>
    <w:uiPriority w:val="99"/>
    <w:semiHidden/>
    <w:unhideWhenUsed/>
    <w:rsid w:val="007C0C41"/>
    <w:rPr>
      <w:color w:val="605E5C"/>
      <w:shd w:val="clear" w:color="auto" w:fill="E1DFDD"/>
    </w:rPr>
  </w:style>
  <w:style w:type="character" w:styleId="FollowedHyperlink">
    <w:name w:val="FollowedHyperlink"/>
    <w:basedOn w:val="DefaultParagraphFont"/>
    <w:uiPriority w:val="99"/>
    <w:semiHidden/>
    <w:unhideWhenUsed/>
    <w:rsid w:val="00A64814"/>
    <w:rPr>
      <w:color w:val="954F72" w:themeColor="followedHyperlink"/>
      <w:u w:val="single"/>
    </w:rPr>
  </w:style>
  <w:style w:type="table" w:styleId="TableGrid">
    <w:name w:val="Table Grid"/>
    <w:basedOn w:val="TableNormal"/>
    <w:uiPriority w:val="39"/>
    <w:rsid w:val="0028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4E9"/>
    <w:pPr>
      <w:spacing w:after="0" w:line="240" w:lineRule="auto"/>
    </w:pPr>
    <w:rPr>
      <w:rFonts w:ascii="Times New Roman" w:hAnsi="Times New Roman" w:cs="Times New Roman"/>
      <w:bCs w:val="0"/>
    </w:rPr>
  </w:style>
  <w:style w:type="character" w:customStyle="1" w:styleId="HeaderChar">
    <w:name w:val="Header Char"/>
    <w:basedOn w:val="DefaultParagraphFont"/>
    <w:link w:val="Header"/>
    <w:uiPriority w:val="99"/>
    <w:rsid w:val="009C04E9"/>
    <w:rPr>
      <w:rFonts w:ascii="Times New Roman" w:hAnsi="Times New Roman" w:cs="Times New Roman"/>
      <w:bCs w:val="0"/>
    </w:rPr>
  </w:style>
  <w:style w:type="paragraph" w:styleId="Revision">
    <w:name w:val="Revision"/>
    <w:hidden/>
    <w:uiPriority w:val="99"/>
    <w:semiHidden/>
    <w:rsid w:val="00AC0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7902">
      <w:bodyDiv w:val="1"/>
      <w:marLeft w:val="0"/>
      <w:marRight w:val="0"/>
      <w:marTop w:val="0"/>
      <w:marBottom w:val="0"/>
      <w:divBdr>
        <w:top w:val="none" w:sz="0" w:space="0" w:color="auto"/>
        <w:left w:val="none" w:sz="0" w:space="0" w:color="auto"/>
        <w:bottom w:val="none" w:sz="0" w:space="0" w:color="auto"/>
        <w:right w:val="none" w:sz="0" w:space="0" w:color="auto"/>
      </w:divBdr>
    </w:div>
    <w:div w:id="428086206">
      <w:bodyDiv w:val="1"/>
      <w:marLeft w:val="0"/>
      <w:marRight w:val="0"/>
      <w:marTop w:val="0"/>
      <w:marBottom w:val="0"/>
      <w:divBdr>
        <w:top w:val="none" w:sz="0" w:space="0" w:color="auto"/>
        <w:left w:val="none" w:sz="0" w:space="0" w:color="auto"/>
        <w:bottom w:val="none" w:sz="0" w:space="0" w:color="auto"/>
        <w:right w:val="none" w:sz="0" w:space="0" w:color="auto"/>
      </w:divBdr>
      <w:divsChild>
        <w:div w:id="717633660">
          <w:marLeft w:val="0"/>
          <w:marRight w:val="0"/>
          <w:marTop w:val="0"/>
          <w:marBottom w:val="0"/>
          <w:divBdr>
            <w:top w:val="none" w:sz="0" w:space="0" w:color="auto"/>
            <w:left w:val="none" w:sz="0" w:space="0" w:color="auto"/>
            <w:bottom w:val="none" w:sz="0" w:space="0" w:color="auto"/>
            <w:right w:val="none" w:sz="0" w:space="0" w:color="auto"/>
          </w:divBdr>
        </w:div>
      </w:divsChild>
    </w:div>
    <w:div w:id="458568753">
      <w:bodyDiv w:val="1"/>
      <w:marLeft w:val="0"/>
      <w:marRight w:val="0"/>
      <w:marTop w:val="0"/>
      <w:marBottom w:val="0"/>
      <w:divBdr>
        <w:top w:val="none" w:sz="0" w:space="0" w:color="auto"/>
        <w:left w:val="none" w:sz="0" w:space="0" w:color="auto"/>
        <w:bottom w:val="none" w:sz="0" w:space="0" w:color="auto"/>
        <w:right w:val="none" w:sz="0" w:space="0" w:color="auto"/>
      </w:divBdr>
    </w:div>
    <w:div w:id="1658606173">
      <w:bodyDiv w:val="1"/>
      <w:marLeft w:val="0"/>
      <w:marRight w:val="0"/>
      <w:marTop w:val="0"/>
      <w:marBottom w:val="0"/>
      <w:divBdr>
        <w:top w:val="none" w:sz="0" w:space="0" w:color="auto"/>
        <w:left w:val="none" w:sz="0" w:space="0" w:color="auto"/>
        <w:bottom w:val="none" w:sz="0" w:space="0" w:color="auto"/>
        <w:right w:val="none" w:sz="0" w:space="0" w:color="auto"/>
      </w:divBdr>
    </w:div>
    <w:div w:id="2115007717">
      <w:bodyDiv w:val="1"/>
      <w:marLeft w:val="0"/>
      <w:marRight w:val="0"/>
      <w:marTop w:val="0"/>
      <w:marBottom w:val="0"/>
      <w:divBdr>
        <w:top w:val="none" w:sz="0" w:space="0" w:color="auto"/>
        <w:left w:val="none" w:sz="0" w:space="0" w:color="auto"/>
        <w:bottom w:val="none" w:sz="0" w:space="0" w:color="auto"/>
        <w:right w:val="none" w:sz="0" w:space="0" w:color="auto"/>
      </w:divBdr>
    </w:div>
    <w:div w:id="21301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7th-congress/house-bill/2617" TargetMode="External"/><Relationship Id="rId13" Type="http://schemas.openxmlformats.org/officeDocument/2006/relationships/hyperlink" Target="https://www.congress.gov/bill/117th-congress/house-bill/2617" TargetMode="External"/><Relationship Id="rId18" Type="http://schemas.openxmlformats.org/officeDocument/2006/relationships/hyperlink" Target="https://www.acd.od.nih.gov/documents/presentations/12092022_WGD_Disabilities_Subgroup_Report.pdf" TargetMode="External"/><Relationship Id="rId3" Type="http://schemas.openxmlformats.org/officeDocument/2006/relationships/settings" Target="settings.xml"/><Relationship Id="rId21" Type="http://schemas.openxmlformats.org/officeDocument/2006/relationships/hyperlink" Target="https://www.washingtonpost.com/lifestyle/2022/12/29/judy-woodruff-pbs-newshour/?utm_campaign=wp_the_optimist&amp;utm_medium=email&amp;utm_source=newsletter&amp;wpisrc=nl_optimist&amp;carta-url=https%3A%2F%2Fs2.washingtonpost.com%2Fcar-ln-tr%2F38afb65%2F63b1929fef9bf67b23439ec3%2F596c8290ade4e24119d0a30f%2F24%2F48%2F63b1929fef9bf67b23439ec3&amp;wp_cu=9b757f14f5dd0f2282b3a7274e5f11d0%7Cb3ec226e-0eb6-11e0-a478-1231380f446b" TargetMode="External"/><Relationship Id="rId7" Type="http://schemas.openxmlformats.org/officeDocument/2006/relationships/hyperlink" Target="https://en.wikipedia.org/wiki/List_of_United_States_House_of_Representatives_committees" TargetMode="External"/><Relationship Id="rId12" Type="http://schemas.openxmlformats.org/officeDocument/2006/relationships/hyperlink" Target="https://www.congress.gov/bill/117th-congress/senate-bill/4426?r=26&amp;s=1" TargetMode="External"/><Relationship Id="rId17" Type="http://schemas.openxmlformats.org/officeDocument/2006/relationships/hyperlink" Target="https://www.aarp.org/retirement/social-security/info-2022/cola-increases-medicare-premium-drops.html?cmp=EMC-DSM-NLC-OTH-WBLTR-1532702-1785613-6969451-NA-011423-Webletter-MS2-SAPLASOCSEC-NA-PR60-SocialSecurity&amp;encparam=r2n%2fp6xvF4idP7OR%2b97oTJ7BXxPqZPF8EV4hHdBBBaE%3d" TargetMode="External"/><Relationship Id="rId2" Type="http://schemas.openxmlformats.org/officeDocument/2006/relationships/styles" Target="styles.xml"/><Relationship Id="rId16" Type="http://schemas.openxmlformats.org/officeDocument/2006/relationships/hyperlink" Target="https://www.politico.com/minutes/congress/01-11-2023/granger/" TargetMode="External"/><Relationship Id="rId20" Type="http://schemas.openxmlformats.org/officeDocument/2006/relationships/hyperlink" Target="https://www.statnews.com/2023/01/03/nih-advances-recommendations-disability-inclusion-antiableism/" TargetMode="External"/><Relationship Id="rId1" Type="http://schemas.openxmlformats.org/officeDocument/2006/relationships/numbering" Target="numbering.xml"/><Relationship Id="rId6" Type="http://schemas.openxmlformats.org/officeDocument/2006/relationships/image" Target="cid:image004.jpg@01D605D2.E39CBF60" TargetMode="External"/><Relationship Id="rId11" Type="http://schemas.openxmlformats.org/officeDocument/2006/relationships/hyperlink" Target="https://www.usbank.com/retirement-planning/financial-perspectives/saving-for-retirement-secure-act.html" TargetMode="External"/><Relationship Id="rId5" Type="http://schemas.openxmlformats.org/officeDocument/2006/relationships/image" Target="media/image1.jpeg"/><Relationship Id="rId15" Type="http://schemas.openxmlformats.org/officeDocument/2006/relationships/hyperlink" Target="https://autisticadvocacy.org/2022/12/congress-has-supported-the-fdas-right-to-stoptheshock/" TargetMode="External"/><Relationship Id="rId23" Type="http://schemas.openxmlformats.org/officeDocument/2006/relationships/theme" Target="theme/theme1.xml"/><Relationship Id="rId10" Type="http://schemas.openxmlformats.org/officeDocument/2006/relationships/hyperlink" Target="https://www.natlawreview.com/article/key-healthcare-provisions-consolidated-appropriations-act-2023" TargetMode="External"/><Relationship Id="rId19" Type="http://schemas.openxmlformats.org/officeDocument/2006/relationships/hyperlink" Target="https://www.whitehouse.gov/ostp/events-webinars/stemmequity/" TargetMode="External"/><Relationship Id="rId4" Type="http://schemas.openxmlformats.org/officeDocument/2006/relationships/webSettings" Target="webSettings.xml"/><Relationship Id="rId9" Type="http://schemas.openxmlformats.org/officeDocument/2006/relationships/hyperlink" Target="https://appropriations.house.gov/sites/democrats.appropriations.house.gov/files/FY23%20Summary%20of%20Appropriations%20Provisions.pdf" TargetMode="External"/><Relationship Id="rId14" Type="http://schemas.openxmlformats.org/officeDocument/2006/relationships/hyperlink" Target="https://www.congress.gov/bill/117th-congress/senate-bill/331?q=%7B%22search%22%3A%5B%22s+331%22%5D%7D&amp;s=7&amp;r=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Gibson Lindberg</dc:creator>
  <cp:keywords/>
  <dc:description/>
  <cp:lastModifiedBy>Brian Lindberg</cp:lastModifiedBy>
  <cp:revision>2</cp:revision>
  <dcterms:created xsi:type="dcterms:W3CDTF">2023-01-19T21:43:00Z</dcterms:created>
  <dcterms:modified xsi:type="dcterms:W3CDTF">2023-01-19T21:43:00Z</dcterms:modified>
</cp:coreProperties>
</file>